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A41E1C"/>
        <w:tblCellMar>
          <w:top w:w="15" w:type="dxa"/>
          <w:left w:w="15" w:type="dxa"/>
          <w:bottom w:w="15" w:type="dxa"/>
          <w:right w:w="15" w:type="dxa"/>
        </w:tblCellMar>
        <w:tblLook w:val="04A0"/>
      </w:tblPr>
      <w:tblGrid>
        <w:gridCol w:w="9161"/>
      </w:tblGrid>
      <w:tr w:rsidR="00877152" w:rsidRPr="00877152" w:rsidTr="00877152">
        <w:trPr>
          <w:trHeight w:val="253"/>
          <w:tblCellSpacing w:w="15" w:type="dxa"/>
        </w:trPr>
        <w:tc>
          <w:tcPr>
            <w:tcW w:w="0" w:type="auto"/>
            <w:vMerge w:val="restart"/>
            <w:shd w:val="clear" w:color="auto" w:fill="A41E1C"/>
            <w:vAlign w:val="center"/>
            <w:hideMark/>
          </w:tcPr>
          <w:p w:rsidR="00877152" w:rsidRPr="00877152" w:rsidRDefault="00877152" w:rsidP="00877152">
            <w:pPr>
              <w:spacing w:after="0" w:line="240" w:lineRule="auto"/>
              <w:ind w:right="975"/>
              <w:jc w:val="center"/>
              <w:outlineLvl w:val="5"/>
              <w:rPr>
                <w:rFonts w:ascii="Arial" w:eastAsia="Times New Roman" w:hAnsi="Arial" w:cs="Arial"/>
                <w:b/>
                <w:bCs/>
                <w:color w:val="FFE8BF"/>
                <w:sz w:val="30"/>
                <w:szCs w:val="30"/>
                <w:lang w:eastAsia="sr-Latn-CS"/>
              </w:rPr>
            </w:pPr>
            <w:r w:rsidRPr="00877152">
              <w:rPr>
                <w:rFonts w:ascii="Arial" w:eastAsia="Times New Roman" w:hAnsi="Arial" w:cs="Arial"/>
                <w:b/>
                <w:bCs/>
                <w:color w:val="FFE8BF"/>
                <w:sz w:val="30"/>
                <w:szCs w:val="30"/>
                <w:lang w:eastAsia="sr-Latn-CS"/>
              </w:rPr>
              <w:t>ODLUKA</w:t>
            </w:r>
          </w:p>
          <w:p w:rsidR="00877152" w:rsidRPr="00877152" w:rsidRDefault="00877152" w:rsidP="00877152">
            <w:pPr>
              <w:spacing w:before="240" w:after="240" w:line="240" w:lineRule="auto"/>
              <w:ind w:left="240" w:right="975"/>
              <w:jc w:val="center"/>
              <w:outlineLvl w:val="5"/>
              <w:rPr>
                <w:rFonts w:ascii="Arial" w:eastAsia="Times New Roman" w:hAnsi="Arial" w:cs="Arial"/>
                <w:b/>
                <w:bCs/>
                <w:color w:val="FFFFFF"/>
                <w:sz w:val="28"/>
                <w:szCs w:val="28"/>
                <w:lang w:eastAsia="sr-Latn-CS"/>
              </w:rPr>
            </w:pPr>
            <w:r w:rsidRPr="00877152">
              <w:rPr>
                <w:rFonts w:ascii="Arial" w:eastAsia="Times New Roman" w:hAnsi="Arial" w:cs="Arial"/>
                <w:b/>
                <w:bCs/>
                <w:color w:val="FFFFFF"/>
                <w:sz w:val="28"/>
                <w:szCs w:val="28"/>
                <w:lang w:eastAsia="sr-Latn-CS"/>
              </w:rPr>
              <w:t>O LOKALNIM KOMUNALNIM TAKSAMA</w:t>
            </w:r>
          </w:p>
          <w:p w:rsidR="00877152" w:rsidRPr="00877152" w:rsidRDefault="00877152" w:rsidP="00877152">
            <w:pPr>
              <w:shd w:val="clear" w:color="auto" w:fill="000000"/>
              <w:spacing w:after="0" w:line="240" w:lineRule="auto"/>
              <w:jc w:val="center"/>
              <w:rPr>
                <w:rFonts w:ascii="Arial" w:eastAsia="Times New Roman" w:hAnsi="Arial" w:cs="Arial"/>
                <w:b/>
                <w:bCs/>
                <w:i/>
                <w:iCs/>
                <w:color w:val="FFE8BF"/>
                <w:lang w:eastAsia="sr-Latn-CS"/>
              </w:rPr>
            </w:pPr>
            <w:r w:rsidRPr="00877152">
              <w:rPr>
                <w:rFonts w:ascii="Arial" w:eastAsia="Times New Roman" w:hAnsi="Arial" w:cs="Arial"/>
                <w:b/>
                <w:bCs/>
                <w:i/>
                <w:iCs/>
                <w:color w:val="FFE8BF"/>
                <w:lang w:eastAsia="sr-Latn-CS"/>
              </w:rPr>
              <w:t>("Sl. list grada Sremska Mitrovica", br. 13/2013 i 11/2014)</w:t>
            </w:r>
          </w:p>
        </w:tc>
      </w:tr>
      <w:tr w:rsidR="00877152" w:rsidRPr="00877152" w:rsidTr="00877152">
        <w:trPr>
          <w:trHeight w:val="253"/>
          <w:tblCellSpacing w:w="15" w:type="dxa"/>
        </w:trPr>
        <w:tc>
          <w:tcPr>
            <w:tcW w:w="0" w:type="auto"/>
            <w:vMerge/>
            <w:shd w:val="clear" w:color="auto" w:fill="A41E1C"/>
            <w:vAlign w:val="center"/>
            <w:hideMark/>
          </w:tcPr>
          <w:p w:rsidR="00877152" w:rsidRPr="00877152" w:rsidRDefault="00877152" w:rsidP="00877152">
            <w:pPr>
              <w:spacing w:after="0" w:line="240" w:lineRule="auto"/>
              <w:rPr>
                <w:rFonts w:ascii="Arial" w:eastAsia="Times New Roman" w:hAnsi="Arial" w:cs="Arial"/>
                <w:b/>
                <w:bCs/>
                <w:i/>
                <w:iCs/>
                <w:color w:val="FFE8BF"/>
                <w:lang w:eastAsia="sr-Latn-CS"/>
              </w:rPr>
            </w:pPr>
          </w:p>
        </w:tc>
      </w:tr>
      <w:tr w:rsidR="00877152" w:rsidRPr="00877152" w:rsidTr="00877152">
        <w:trPr>
          <w:trHeight w:val="253"/>
          <w:tblCellSpacing w:w="15" w:type="dxa"/>
        </w:trPr>
        <w:tc>
          <w:tcPr>
            <w:tcW w:w="0" w:type="auto"/>
            <w:vMerge/>
            <w:shd w:val="clear" w:color="auto" w:fill="A41E1C"/>
            <w:vAlign w:val="center"/>
            <w:hideMark/>
          </w:tcPr>
          <w:p w:rsidR="00877152" w:rsidRPr="00877152" w:rsidRDefault="00877152" w:rsidP="00877152">
            <w:pPr>
              <w:spacing w:after="0" w:line="240" w:lineRule="auto"/>
              <w:rPr>
                <w:rFonts w:ascii="Arial" w:eastAsia="Times New Roman" w:hAnsi="Arial" w:cs="Arial"/>
                <w:b/>
                <w:bCs/>
                <w:i/>
                <w:iCs/>
                <w:color w:val="FFE8BF"/>
                <w:lang w:eastAsia="sr-Latn-CS"/>
              </w:rPr>
            </w:pPr>
          </w:p>
        </w:tc>
      </w:tr>
    </w:tbl>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0" w:name="clan_1"/>
      <w:bookmarkEnd w:id="0"/>
      <w:r w:rsidRPr="00877152">
        <w:rPr>
          <w:rFonts w:ascii="Arial" w:eastAsia="Times New Roman" w:hAnsi="Arial" w:cs="Arial"/>
          <w:b/>
          <w:bCs/>
          <w:color w:val="000000"/>
          <w:sz w:val="20"/>
          <w:szCs w:val="20"/>
          <w:lang w:eastAsia="sr-Latn-CS"/>
        </w:rPr>
        <w:t xml:space="preserve">Član 1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Ovom Odlukom utvrđuju se lokalne komunalne takse na teritoriji Grada Sremske Mitrovice.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 w:name="clan_2"/>
      <w:bookmarkEnd w:id="1"/>
      <w:r w:rsidRPr="00877152">
        <w:rPr>
          <w:rFonts w:ascii="Arial" w:eastAsia="Times New Roman" w:hAnsi="Arial" w:cs="Arial"/>
          <w:b/>
          <w:bCs/>
          <w:color w:val="000000"/>
          <w:sz w:val="20"/>
          <w:szCs w:val="20"/>
          <w:lang w:eastAsia="sr-Latn-CS"/>
        </w:rPr>
        <w:t xml:space="preserve">Član 2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Obveznik lokalne komunalne takse jeste korisnik prava, predmeta ili usluga za čije je korišćenje propisano plaćanje lokalne komunalne takse.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2" w:name="clan_3"/>
      <w:bookmarkEnd w:id="2"/>
      <w:r w:rsidRPr="00877152">
        <w:rPr>
          <w:rFonts w:ascii="Arial" w:eastAsia="Times New Roman" w:hAnsi="Arial" w:cs="Arial"/>
          <w:b/>
          <w:bCs/>
          <w:color w:val="000000"/>
          <w:sz w:val="20"/>
          <w:szCs w:val="20"/>
          <w:lang w:eastAsia="sr-Latn-CS"/>
        </w:rPr>
        <w:t xml:space="preserve">Član 3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Taksena obaveza nastaje danom početka korišćenja prava, predmeta ili usluge za čije je usluge propisano plaćanje lokalne komunalne takse.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Taksena obaveza traje dok traje korišćenje prava, predmeta ili usluge.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Obveznik lokalne komunalne takse je dužan podneti prijavu za utvrđivanje lokalne komunalne takse za isticanje firme na poslovnom prostoru i za držanje sredstava za igru ("zabavne igre") i obavestiti Gradsku upravu za budžet i finansije o nastanku, svim promenama i prestanku korišćenja prava, predmeta ili usluga i drugim činjenicama koje su od uticaja na primenu ove odluke, u roku od 15 dana od nastanka promena.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Prijave za utvrđivanje lokalnih komunalnih taksi su sastavni deo ove Odluke.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3" w:name="clan_4"/>
      <w:bookmarkEnd w:id="3"/>
      <w:r w:rsidRPr="00877152">
        <w:rPr>
          <w:rFonts w:ascii="Arial" w:eastAsia="Times New Roman" w:hAnsi="Arial" w:cs="Arial"/>
          <w:b/>
          <w:bCs/>
          <w:color w:val="000000"/>
          <w:sz w:val="20"/>
          <w:szCs w:val="20"/>
          <w:lang w:eastAsia="sr-Latn-CS"/>
        </w:rPr>
        <w:t xml:space="preserve">Član 4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Lokalne komunalne takse ne plaćaju se za korišćenje prava, predmeta i usluga od strane državnih organa i organizacija, organa i organizacija teritorijalne autonomije i jedinica lokalne samouprave.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4" w:name="clan_5"/>
      <w:bookmarkEnd w:id="4"/>
      <w:r w:rsidRPr="00877152">
        <w:rPr>
          <w:rFonts w:ascii="Arial" w:eastAsia="Times New Roman" w:hAnsi="Arial" w:cs="Arial"/>
          <w:b/>
          <w:bCs/>
          <w:color w:val="000000"/>
          <w:sz w:val="20"/>
          <w:szCs w:val="20"/>
          <w:lang w:eastAsia="sr-Latn-CS"/>
        </w:rPr>
        <w:t xml:space="preserve">Član 5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Lokalne komunalne takse uvode se za: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 korišćenje prostora na javnim površinama ili ispred poslovnih prostorija u poslovne svrhe, osim radi prodaje štampe, knjiga i drugih publikacija, proizvoda starih i umetničkih zanata i domaće radinosti, kao i radi postavljanja telefonskih govornica,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 držanje sredstava za igru ("zabavne igre"),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 isticanje firme na poslovnim prostorijama,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 korišćenje reklamnih panoa, uključujući i isticanje i ispisivanje firme van poslovnog prostora na objektima i prostorima koji pripadaju jedinici lokalne samouprave (kolovozi, trotoari, zelene površine, bandere i sl.),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 korišćenje slobodnih površina za kampovanje, postavljanje šatora ili druge objekte privremenog korišćenja,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6. držanje motornih drumskih i priključnih vozila, osim poljoprivrednih vozila i mašina,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7. lagerovanje građevinskih i drugih materijala na javnim površinama.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8. korišćenje prostora za parkiranje drumskih, motornih i priključnih vozila na uređenim i obeleženim mestima.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5" w:name="clan_6"/>
      <w:bookmarkEnd w:id="5"/>
      <w:r w:rsidRPr="00877152">
        <w:rPr>
          <w:rFonts w:ascii="Arial" w:eastAsia="Times New Roman" w:hAnsi="Arial" w:cs="Arial"/>
          <w:b/>
          <w:bCs/>
          <w:color w:val="000000"/>
          <w:sz w:val="20"/>
          <w:szCs w:val="20"/>
          <w:lang w:eastAsia="sr-Latn-CS"/>
        </w:rPr>
        <w:t xml:space="preserve">Član 6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Firma, u smislu ove odluke, jeste svaki istaknuti naziv ili ime koje upućuje na to da pravno ili fizičko lice obavlja određenu delatnost.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Ako se na jednom poslovnom objektu nalazi više istaknutih firmi istog obveznika, taksa se plaća samo na jednu firmu.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Obveznik lokalne komunalne takse za isticanje firme je i pravno ili fizičko lice koje delatnost obavlja bez poslovne prostorije.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Neisticanje firme na poslovnom prostoru nije osnov za oslobođenje obveznika od plaćanja lokalne komunalne takse.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6" w:name="clan_7"/>
      <w:bookmarkEnd w:id="6"/>
      <w:r w:rsidRPr="00877152">
        <w:rPr>
          <w:rFonts w:ascii="Arial" w:eastAsia="Times New Roman" w:hAnsi="Arial" w:cs="Arial"/>
          <w:b/>
          <w:bCs/>
          <w:color w:val="000000"/>
          <w:sz w:val="20"/>
          <w:szCs w:val="20"/>
          <w:lang w:eastAsia="sr-Latn-CS"/>
        </w:rPr>
        <w:t xml:space="preserve">Član 7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Nadzor nad sprovođenjem odredaba ove odluke vrše Gradska uprava za budžet i finansije i Gradska uprava za urbanizam, komunalne i inspekcijske poslove.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7" w:name="clan_8"/>
      <w:bookmarkEnd w:id="7"/>
      <w:r w:rsidRPr="00877152">
        <w:rPr>
          <w:rFonts w:ascii="Arial" w:eastAsia="Times New Roman" w:hAnsi="Arial" w:cs="Arial"/>
          <w:b/>
          <w:bCs/>
          <w:color w:val="000000"/>
          <w:sz w:val="20"/>
          <w:szCs w:val="20"/>
          <w:lang w:eastAsia="sr-Latn-CS"/>
        </w:rPr>
        <w:lastRenderedPageBreak/>
        <w:t xml:space="preserve">Član 8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Sredstva koja se ostvaruju naplaćivanjem lokalnih komunalnih taksa su prihod budžeta Grada.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8" w:name="clan_9"/>
      <w:bookmarkEnd w:id="8"/>
      <w:r w:rsidRPr="00877152">
        <w:rPr>
          <w:rFonts w:ascii="Arial" w:eastAsia="Times New Roman" w:hAnsi="Arial" w:cs="Arial"/>
          <w:b/>
          <w:bCs/>
          <w:color w:val="000000"/>
          <w:sz w:val="20"/>
          <w:szCs w:val="20"/>
          <w:lang w:eastAsia="sr-Latn-CS"/>
        </w:rPr>
        <w:t xml:space="preserve">Član 9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Visina, olakšice, rokovi i način naplate lokalnih komunalnih taksa utvrđuju se tarifom koja je sastavni deo ove odluke.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9" w:name="clan_10"/>
      <w:bookmarkEnd w:id="9"/>
      <w:r w:rsidRPr="00877152">
        <w:rPr>
          <w:rFonts w:ascii="Arial" w:eastAsia="Times New Roman" w:hAnsi="Arial" w:cs="Arial"/>
          <w:b/>
          <w:bCs/>
          <w:color w:val="000000"/>
          <w:sz w:val="20"/>
          <w:szCs w:val="20"/>
          <w:lang w:eastAsia="sr-Latn-CS"/>
        </w:rPr>
        <w:t xml:space="preserve">Član 10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Visinu lokalne komunalne takse za isticanje firme na poslovnom prostoru i za držanje sredstava za igru utvrđuje rešenjem Gradska uprava za budžet i finansije.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Lokalna komunalna taksa za isticanje firme na poslovnom prostoru i za držanje sredstava za igru plaća se tromesečno, u roku od 45 dana od početka tromesečja.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Razliku između lokalne komunalne takse utvrđene rešenjem Gradske uprave za budžet i finansije i akontaciono uplaćene takse za tromesečja za koja je obaveza dospela, obveznik je dužan da uplati u roku od 15 dana od dana dostavljanja prvostepenog rešenja o utvrđivanju obaveze.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0" w:name="clan_11"/>
      <w:bookmarkEnd w:id="10"/>
      <w:r w:rsidRPr="00877152">
        <w:rPr>
          <w:rFonts w:ascii="Arial" w:eastAsia="Times New Roman" w:hAnsi="Arial" w:cs="Arial"/>
          <w:b/>
          <w:bCs/>
          <w:color w:val="000000"/>
          <w:sz w:val="20"/>
          <w:szCs w:val="20"/>
          <w:lang w:eastAsia="sr-Latn-CS"/>
        </w:rPr>
        <w:t xml:space="preserve">Član 11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U pogledu načina utvrđivanja, postupka po pravnim lekovima, načina i rokova plaćanja takse, kamate, povraćaja takse, zastarelosti naplate, prinudne naplate, kaznenih odredaba i ostalog što nije posebno uređeno ovom odlukom, primenjuje se Zakon o poreskom postupku i poreskoj administraciji.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1" w:name="clan_12"/>
      <w:bookmarkEnd w:id="11"/>
      <w:r w:rsidRPr="00877152">
        <w:rPr>
          <w:rFonts w:ascii="Arial" w:eastAsia="Times New Roman" w:hAnsi="Arial" w:cs="Arial"/>
          <w:b/>
          <w:bCs/>
          <w:color w:val="000000"/>
          <w:sz w:val="20"/>
          <w:szCs w:val="20"/>
          <w:lang w:eastAsia="sr-Latn-CS"/>
        </w:rPr>
        <w:t xml:space="preserve">Član 12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Novčanom kaznom od 50.000 do 150.000 dinara kazniće se pravno lice ako: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ne podnese ili ne podnese u propisanom roku prijavu za utvrđivanje lokalne komunalne takse za isticanje firme i za držanje sredstava za igru,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u prijavu unese netačne podatke,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ne postupi po rešenju nadležne gradske uprave.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prekršaj iz prethodnog stava ovog člana, kazniće se novčanom kaznom od 10.000 do 50.000 dinara preduzetnik.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2" w:name="clan_13"/>
      <w:bookmarkEnd w:id="12"/>
      <w:r w:rsidRPr="00877152">
        <w:rPr>
          <w:rFonts w:ascii="Arial" w:eastAsia="Times New Roman" w:hAnsi="Arial" w:cs="Arial"/>
          <w:b/>
          <w:bCs/>
          <w:color w:val="000000"/>
          <w:sz w:val="20"/>
          <w:szCs w:val="20"/>
          <w:lang w:eastAsia="sr-Latn-CS"/>
        </w:rPr>
        <w:t xml:space="preserve">Član 13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Prekršajni postupak pokreće i vodi i izriče kazne i zaštitne mere za prekršaje Gradska uprava za budžet i finansije.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3" w:name="clan_14"/>
      <w:bookmarkEnd w:id="13"/>
      <w:r w:rsidRPr="00877152">
        <w:rPr>
          <w:rFonts w:ascii="Arial" w:eastAsia="Times New Roman" w:hAnsi="Arial" w:cs="Arial"/>
          <w:b/>
          <w:bCs/>
          <w:color w:val="000000"/>
          <w:sz w:val="20"/>
          <w:szCs w:val="20"/>
          <w:lang w:eastAsia="sr-Latn-CS"/>
        </w:rPr>
        <w:t xml:space="preserve">Član 14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Ova odluka stupa na snagu narednog dana od dana objavljivanja u "Službenom listu grada Sremska Mitrovica", a primenjuje se na sva prava stečena na osnovu zakona od 01. oktobra 2012. godine, osim Tarifnog broja 3. koji se primenjuju od 01. januara 2013. godine.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Stupanjem na snagu ove odluke prestaje da važi Odluka o lokalnim komunalnim taksama ("Službeni list grada Sremska Mitrovica", br. 14/2009, 5/2010-ispravka, 7/2010, 10/2011, 18/2012, 7/2013).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r w:rsidRPr="00877152">
        <w:rPr>
          <w:rFonts w:ascii="Arial" w:eastAsia="Times New Roman" w:hAnsi="Arial" w:cs="Arial"/>
          <w:b/>
          <w:bCs/>
          <w:color w:val="000000"/>
          <w:sz w:val="20"/>
          <w:szCs w:val="20"/>
          <w:lang w:eastAsia="sr-Latn-CS"/>
        </w:rPr>
        <w:t xml:space="preserve">Član 15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obveznike lokalne komunalne takse za isticanje firme na poslovnom prostoru koji su izmirili obaveze po osnovu lokalne komunalne takse i sporedna poreska davanja zaključno sa 31. decembrom tekuće godine, Gradska uprava za budžet i finansije otpisaće 10% zaduženja za tekuću godinu prilikom akontacionog zaduženja 15. februara naredne godine.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obveznike lokalne komunalne takse kojima obavezu po osnovu lokalne komunalne takse utvrđuje rešenjem Gradska uprava za urbanizam, komunalne i inspekcijske poslove, na osnovu ugovora zaključenih na period od dve i više godina, a koji su izmirili obaveze po osnovu lokalne komunalne takse i sporedna poreska davanja zaključno sa 31. decembrom tekuće godine, Gradska uprava za urbanizam, komunalne i inspekcijske poslove umanjiće naredne godine za 10% obavezu po osnovu lokalne komunalne takse koja bi bila utvrđena rešenjem, u skladu sa predmetnim tarifnim brojem Tarife lokalnih komunalnih taksi.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Obaveza po osnovu lokalne komunalne takse koju utvrđuje Gradska uprava za urbanizam, komunalne i inspekcijske poslove u tekućoj i narednoj godini mora biti utvrđena po osnovu istog tarifnog broja.</w:t>
      </w:r>
    </w:p>
    <w:p w:rsidR="00877152" w:rsidRPr="00877152" w:rsidRDefault="00877152" w:rsidP="00877152">
      <w:pPr>
        <w:shd w:val="clear" w:color="auto" w:fill="FFFFFF"/>
        <w:spacing w:before="48" w:after="48" w:line="240" w:lineRule="auto"/>
        <w:jc w:val="center"/>
        <w:rPr>
          <w:rFonts w:ascii="Arial" w:eastAsia="Times New Roman" w:hAnsi="Arial" w:cs="Arial"/>
          <w:b/>
          <w:bCs/>
          <w:i/>
          <w:iCs/>
          <w:color w:val="000000"/>
          <w:sz w:val="20"/>
          <w:szCs w:val="20"/>
          <w:lang w:eastAsia="sr-Latn-CS"/>
        </w:rPr>
      </w:pPr>
      <w:r w:rsidRPr="00877152">
        <w:rPr>
          <w:rFonts w:ascii="Arial" w:eastAsia="Times New Roman" w:hAnsi="Arial" w:cs="Arial"/>
          <w:b/>
          <w:bCs/>
          <w:i/>
          <w:iCs/>
          <w:color w:val="000000"/>
          <w:sz w:val="20"/>
          <w:szCs w:val="20"/>
          <w:lang w:eastAsia="sr-Latn-CS"/>
        </w:rPr>
        <w:t xml:space="preserve">Samostalni član Odluke o izmeni i dopuni </w:t>
      </w:r>
      <w:r w:rsidRPr="00877152">
        <w:rPr>
          <w:rFonts w:ascii="Arial" w:eastAsia="Times New Roman" w:hAnsi="Arial" w:cs="Arial"/>
          <w:b/>
          <w:bCs/>
          <w:i/>
          <w:iCs/>
          <w:color w:val="000000"/>
          <w:sz w:val="20"/>
          <w:szCs w:val="20"/>
          <w:lang w:eastAsia="sr-Latn-CS"/>
        </w:rPr>
        <w:br/>
        <w:t xml:space="preserve">Odluke o lokalnim komunalnim taksama </w:t>
      </w:r>
    </w:p>
    <w:p w:rsidR="00877152" w:rsidRPr="00877152" w:rsidRDefault="00877152" w:rsidP="00877152">
      <w:pPr>
        <w:shd w:val="clear" w:color="auto" w:fill="FFFFFF"/>
        <w:spacing w:before="48" w:after="48" w:line="240" w:lineRule="auto"/>
        <w:jc w:val="center"/>
        <w:rPr>
          <w:rFonts w:ascii="Arial" w:eastAsia="Times New Roman" w:hAnsi="Arial" w:cs="Arial"/>
          <w:i/>
          <w:iCs/>
          <w:color w:val="000000"/>
          <w:sz w:val="18"/>
          <w:szCs w:val="18"/>
          <w:lang w:eastAsia="sr-Latn-CS"/>
        </w:rPr>
      </w:pPr>
      <w:r w:rsidRPr="00877152">
        <w:rPr>
          <w:rFonts w:ascii="Arial" w:eastAsia="Times New Roman" w:hAnsi="Arial" w:cs="Arial"/>
          <w:i/>
          <w:iCs/>
          <w:color w:val="000000"/>
          <w:sz w:val="18"/>
          <w:szCs w:val="18"/>
          <w:lang w:eastAsia="sr-Latn-CS"/>
        </w:rPr>
        <w:t>("Sl. list grada Sremska Mitrovica", br. 11/2014)</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r w:rsidRPr="00877152">
        <w:rPr>
          <w:rFonts w:ascii="Arial" w:eastAsia="Times New Roman" w:hAnsi="Arial" w:cs="Arial"/>
          <w:b/>
          <w:bCs/>
          <w:color w:val="000000"/>
          <w:sz w:val="20"/>
          <w:szCs w:val="20"/>
          <w:lang w:eastAsia="sr-Latn-CS"/>
        </w:rPr>
        <w:lastRenderedPageBreak/>
        <w:t xml:space="preserve">Član 2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Ova odluka stupa na snagu osmog dana od dana objavljivanja u "Službenom listu grada Sremska Mitrovica", a primenjuje se od 01.01.2015. godine. </w:t>
      </w:r>
    </w:p>
    <w:p w:rsidR="00877152" w:rsidRPr="00877152" w:rsidRDefault="00877152" w:rsidP="00877152">
      <w:pPr>
        <w:shd w:val="clear" w:color="auto" w:fill="FFFFFF"/>
        <w:spacing w:before="48" w:after="48" w:line="240" w:lineRule="auto"/>
        <w:jc w:val="center"/>
        <w:rPr>
          <w:rFonts w:ascii="Arial" w:eastAsia="Times New Roman" w:hAnsi="Arial" w:cs="Arial"/>
          <w:i/>
          <w:iCs/>
          <w:color w:val="000000"/>
          <w:sz w:val="18"/>
          <w:szCs w:val="18"/>
          <w:lang w:eastAsia="sr-Latn-CS"/>
        </w:rPr>
      </w:pPr>
      <w:r w:rsidRPr="00877152">
        <w:rPr>
          <w:rFonts w:ascii="Arial" w:eastAsia="Times New Roman" w:hAnsi="Arial" w:cs="Arial"/>
          <w:i/>
          <w:iCs/>
          <w:color w:val="000000"/>
          <w:sz w:val="18"/>
          <w:szCs w:val="18"/>
          <w:lang w:eastAsia="sr-Latn-CS"/>
        </w:rPr>
        <w:t> </w:t>
      </w:r>
    </w:p>
    <w:p w:rsidR="00877152" w:rsidRPr="00877152" w:rsidRDefault="00877152" w:rsidP="00877152">
      <w:pPr>
        <w:shd w:val="clear" w:color="auto" w:fill="FFFFFF"/>
        <w:spacing w:after="0" w:line="240" w:lineRule="auto"/>
        <w:jc w:val="center"/>
        <w:rPr>
          <w:rFonts w:ascii="Arial" w:eastAsia="Times New Roman" w:hAnsi="Arial" w:cs="Arial"/>
          <w:b/>
          <w:bCs/>
          <w:color w:val="000000"/>
          <w:sz w:val="26"/>
          <w:szCs w:val="26"/>
          <w:lang w:eastAsia="sr-Latn-CS"/>
        </w:rPr>
      </w:pPr>
      <w:bookmarkStart w:id="14" w:name="str_1"/>
      <w:bookmarkEnd w:id="14"/>
      <w:r w:rsidRPr="00877152">
        <w:rPr>
          <w:rFonts w:ascii="Arial" w:eastAsia="Times New Roman" w:hAnsi="Arial" w:cs="Arial"/>
          <w:b/>
          <w:bCs/>
          <w:color w:val="000000"/>
          <w:sz w:val="26"/>
          <w:szCs w:val="26"/>
          <w:lang w:eastAsia="sr-Latn-CS"/>
        </w:rPr>
        <w:t xml:space="preserve">TARIFA LOKALNIH KOMUNALNIH TAKSI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15" w:name="str_2"/>
      <w:bookmarkEnd w:id="15"/>
      <w:r w:rsidRPr="00877152">
        <w:rPr>
          <w:rFonts w:ascii="Arial" w:eastAsia="Times New Roman" w:hAnsi="Arial" w:cs="Arial"/>
          <w:b/>
          <w:bCs/>
          <w:color w:val="000000"/>
          <w:sz w:val="20"/>
          <w:szCs w:val="20"/>
          <w:lang w:eastAsia="sr-Latn-CS"/>
        </w:rPr>
        <w:t xml:space="preserve">Tarifni broj 1.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korišćenje prostora na javnim površinama ili ispred poslovnih prostorija u poslovne svrhe plaća se lokalna komunalna taksa i to: </w:t>
      </w:r>
    </w:p>
    <w:tbl>
      <w:tblPr>
        <w:tblW w:w="0" w:type="auto"/>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849"/>
        <w:gridCol w:w="2233"/>
      </w:tblGrid>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u I zoni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14,00 dinara po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dnevno,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u II zoni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11,00 dinara po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dnevno,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u III zoni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8,00 dinara po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dnevno.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u IV zoni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4,50 dinara po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dnevno. </w:t>
            </w:r>
          </w:p>
        </w:tc>
      </w:tr>
    </w:tbl>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Prva zona obuhvata javne površine koje se nalaze u Sremskoj Mitrovici u ulici: 28. marta, Branka Radičevića, Dositejeva, Đure Jakšića do Trga Nikole Pašića, Ilariona Ruvarca, Jevrema Vidića, Kralja Petra Prvog do ulice Stari šor, Masarikova, Muzejska, Parobrodska, Prolaz zeleno drvo, Promenada, Puškinova, Ribarska obala, Šećer sokak do Ulice dr. Ilije Bajića i do Prolaza zeleno drvo, Solarski trg, Svetla, Svetog Dimitrija, Svetog Save, Svetozara Miletića, Trg Ćire Milekića, Trg Nikole Pašića, Trg Svetog Stefana, Trg Vojvođanskih brigada, Vuka Karadžića, Zanatlijska i Žitni trg.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Druga zona obuhvata ostale javne površine u Sremskoj Mitrovici.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Treća zona obuhvata javne površine u Mačvanskoj Mitrovici i Laćarku.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Četvrta zona obuhvata javne površine u ostalim naseljenim mestima.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NAPOMENA: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 Visina takse plaća se srazmerno vremenu korišćenja prostora na javnim površinama u poslovne svrhe.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 Naplatu takse po ovom tarifnom broju vrši Gradska uprava za urbanizam, komunalne i inspekcijske poslove prilikom izdavanja odobrenja.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 Taksa iz ovog tarifnog broja ne plaća se za korišćenje prostora na javnim površinama radi prodaje štampe, knjiga i drugih publikacija, proizvoda starih i umetničkih zanata i domaće radinosti, kao i radi postavljanja telefonskih govornica i objekata za smeštaj telekomunikacione opreme.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 Taksa iz ovog tarifnog broja umanjuje se za 80%, kada se plaća za korišćenje prostora na javnim površinama radi postavljanja perde.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16" w:name="str_3"/>
      <w:bookmarkEnd w:id="16"/>
      <w:r w:rsidRPr="00877152">
        <w:rPr>
          <w:rFonts w:ascii="Arial" w:eastAsia="Times New Roman" w:hAnsi="Arial" w:cs="Arial"/>
          <w:b/>
          <w:bCs/>
          <w:color w:val="000000"/>
          <w:sz w:val="20"/>
          <w:szCs w:val="20"/>
          <w:lang w:eastAsia="sr-Latn-CS"/>
        </w:rPr>
        <w:t xml:space="preserve">Tarifni broj 2.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držanje sredstava za igru u poslovne svrhe, plaća se taksa i to za: </w:t>
      </w:r>
    </w:p>
    <w:tbl>
      <w:tblPr>
        <w:tblW w:w="0" w:type="auto"/>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1176"/>
        <w:gridCol w:w="2638"/>
      </w:tblGrid>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zabavne igre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16,00 dinara po aparatu dnevno,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bilijar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35,00 dinara po aparatu dnevno, </w:t>
            </w:r>
          </w:p>
        </w:tc>
      </w:tr>
    </w:tbl>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NAPOMENA: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Taksa po ovom tarifnom broju utvrđuje se srazmerno vremenu korišćenja, a naplaćuje tromesečno.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Naplatu takse vrši Gradska uprava za budžet i finansije Grada Sremska Mitrovica.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17" w:name="str_4"/>
      <w:bookmarkEnd w:id="17"/>
      <w:r w:rsidRPr="00877152">
        <w:rPr>
          <w:rFonts w:ascii="Arial" w:eastAsia="Times New Roman" w:hAnsi="Arial" w:cs="Arial"/>
          <w:b/>
          <w:bCs/>
          <w:color w:val="000000"/>
          <w:sz w:val="20"/>
          <w:szCs w:val="20"/>
          <w:lang w:eastAsia="sr-Latn-CS"/>
        </w:rPr>
        <w:t xml:space="preserve">Tarifni broj 3.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Preduzetnici i pravna lica koja su prema zakonu kojim se uređuje računovodstvo razvrstana u mala pravna lica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a imaju godišnji prihod do 50.000.000 dinara, ne plaćaju lokalnu komunalnu taksu za isticanje firme na poslovnom prostoru.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Pravna lica koja su prema zakonu kojim se uređuje računovodstvo razvrstana u srednja pravna lica, kao i preduzetnici i mala pravna lica koja imaju godišnji prihod preko 50.000.000 dinara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lokalnu komunalnu taksu za isticanje firme na poslovnom prostoru plaćaju u visini jedne prosečne zarade na godišnjem nivou. Pravna lica koja su prema zakonu kojim se uređuje računovodstvo </w:t>
      </w:r>
      <w:r w:rsidRPr="00877152">
        <w:rPr>
          <w:rFonts w:ascii="Arial" w:eastAsia="Times New Roman" w:hAnsi="Arial" w:cs="Arial"/>
          <w:color w:val="000000"/>
          <w:sz w:val="18"/>
          <w:szCs w:val="18"/>
          <w:lang w:eastAsia="sr-Latn-CS"/>
        </w:rPr>
        <w:lastRenderedPageBreak/>
        <w:t xml:space="preserve">razvrstana u srednja pravna lica, kao i preduzetnici i mala pravna lica koja imaju godišnji prihod preko 50.000.000 dinara (osim posebnih delatnosti), a obavljaju zanatsku delatnost i delatnost prodaje štampe u više objekata, plaćaju jedinstvenu lokalnu komunalnu taksu u visini jedne prosečne zarade na godišnjem nivou.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Pravna lica koja su prema zakonu kojim se uređuje računovodstvo razvrstana u velika pravna lica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lokalnu komunalnu taksu za isticanje firme na poslovnom prostoru plaćaju u visini dve prosečne zarade na godišnjem nivou.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Pravna lica koja su prema zakonu kojim se uređuje računovodstvo razvrstana u velika, srednja i mala pravna lica i preduzetnici a obavljaju delatnost bankarstva, osiguranja imovine i lica, proizvodnje i trgovine na veliko duvanskim proizvodima, proizvodnje cementa, mobilnih i telefonskih usluga, elektroprivrede i noćnih barova i diskoteka, lokalnu komunalnu taksu za isticanje firme na poslovnom prostoru u visini šest prosečnih zarada na godišnjem nivou.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Pravna lica koja su prema zakonu kojim se uređuje računovodstvo razvrstana u velika, srednja i mala pravna lica i preduzetnici a obavljaju delatnost proizvodnje i trgovine naftom i naftnim derivatima na trasi auto- puta, plaćaju lokalnu komunalnu taksu u visini šest prosečnih zarada na godišnjem nivou, a svi ostali privredni subjekti koji obavljaju navedenu delatnost izvan pomenute lokacije plaćaju lokalnu komunalnu taksu u visini tri prosečne zarade po objektu na godišnjem nivou.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Pravna lica koja su prema zakonu kojim se uređuje računovodstvo razvrstana u velika, srednja i mala pravna lica i preduzetnici a obavljaju delatnost kazina, kockarnica, kladionica, bingo sala i pružanja kockarskih usluga na lokacijama koje su razvrstane u ekstra zonu, prvu i drugu zonu prema Odluci o merilima za utvrđivanje naknade za uređivanje građevinskog zemljišta, plaćaju lokalnu komunalnu taksu u visini šest prosečnih zarada na godišnjem nivou. Svi ostali privredni subjekti koji obavljaju navedene delatnosti, a razvrstani su prema lokaciji u ostale zone, plaćaju lokalnu komunalnu taksu u visini tri prosečne zarade po objektu u kom se vrši delatnost, na godišnjem nivou.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Pravna lica koja obavljaju delatnost poštanskih usluga, plaćaju jedinstvenu lokalnu komunalnu taksu u visini šest prosečnih zarada za sve objekte na godišnjem nivou.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Pod prosečnom zaradom smatra se prosečna zarada po zaposlenom ostvarena na teritoriji jedinice lokalne samouprave u periodu januar-avgust godine koja prethodi godini za koju se utvrđuje lokalna komunalna taksa, prema podacima republičkog organa nadležnog za poslove statistike.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Obveznicima koji su izmirili obaveze po osnovu lokalne komunalne takse do dana stupanja na snagu ove odluke, višak uplaćenih sredstava smatra se akontacijom za narednu godinu.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18" w:name="str_5"/>
      <w:bookmarkEnd w:id="18"/>
      <w:r w:rsidRPr="00877152">
        <w:rPr>
          <w:rFonts w:ascii="Arial" w:eastAsia="Times New Roman" w:hAnsi="Arial" w:cs="Arial"/>
          <w:b/>
          <w:bCs/>
          <w:color w:val="000000"/>
          <w:sz w:val="20"/>
          <w:szCs w:val="20"/>
          <w:lang w:eastAsia="sr-Latn-CS"/>
        </w:rPr>
        <w:t xml:space="preserve">Tarifni broj 4.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korišćenje reklamnih panoa, uključujući i isticanje i ispisivanje firme van poslovnog prostora na objektima i prostorima koji pripadaju jedinici lokalne samouprave (kolovozi, trotoari, zelene površine, bandere i sl.) plaća se komunalna taksa po panou dnevno, i to: </w:t>
      </w:r>
    </w:p>
    <w:tbl>
      <w:tblPr>
        <w:tblW w:w="0" w:type="auto"/>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2208"/>
        <w:gridCol w:w="1086"/>
      </w:tblGrid>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do 1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panoa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1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do 2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panoa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2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panoa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35,00 dinara. </w:t>
            </w:r>
          </w:p>
        </w:tc>
      </w:tr>
    </w:tbl>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Lokalna komunalna taksa iz stava 1. ovog Tarifnog broja za pravna lica i preduzetnike ne može biti veća od 20% odgovarajućih iznosa utvrđenih stavovima 2, 3 i 4 Tarifnog broja 3. na godišnjem nivou, odnosno tako utvrđenih iznosa srazmerno vremenu korišćenja reklamnog panoa, zavisno od toga da li su razvrstani u velika, srednja ili mala pravna lica i preduzetnike i zavisno od delatnosti koju obavlja.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Preduzetnici i mala pravna lica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a imaju godišnji prihod do 50.000.000 dinara, ne plaćaju lokalnu komunalnu taksu iz stava 1. ovog Tarifnog broja.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NAPOMENA: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Naplatu takse po ovom Tarifnom broju vrši Gradska uprava za urbanizam, komunalne i inspekcijske poslove prilikom izdavanja odobrenja za njihovo korišćenje, odnosno postavljanje.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19" w:name="str_6"/>
      <w:bookmarkEnd w:id="19"/>
      <w:r w:rsidRPr="00877152">
        <w:rPr>
          <w:rFonts w:ascii="Arial" w:eastAsia="Times New Roman" w:hAnsi="Arial" w:cs="Arial"/>
          <w:b/>
          <w:bCs/>
          <w:color w:val="000000"/>
          <w:sz w:val="20"/>
          <w:szCs w:val="20"/>
          <w:lang w:eastAsia="sr-Latn-CS"/>
        </w:rPr>
        <w:t xml:space="preserve">Tarifni broj 5.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korišćenje slobodnih površina za kampovanje, postavljanje šatora ili druge objekte privremenog korišćenja plaća se taksa i to: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11,33 dinara po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dnevno.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NAPOMENA: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lastRenderedPageBreak/>
        <w:t xml:space="preserve">1. Taksa po ovom tarifnom broju plaća se srazmerno vremenu korišćenja.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 Naplatu takse vrši Gradska uprava za urbanizam, komunalne i inspekcijske poslove prilikom izdavanja odobrenja za privremeno korišćenje javnih površina.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20" w:name="str_7"/>
      <w:bookmarkEnd w:id="20"/>
      <w:r w:rsidRPr="00877152">
        <w:rPr>
          <w:rFonts w:ascii="Arial" w:eastAsia="Times New Roman" w:hAnsi="Arial" w:cs="Arial"/>
          <w:b/>
          <w:bCs/>
          <w:color w:val="000000"/>
          <w:sz w:val="20"/>
          <w:szCs w:val="20"/>
          <w:lang w:eastAsia="sr-Latn-CS"/>
        </w:rPr>
        <w:t xml:space="preserve">Tarifni broj 6.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Iznos lokalne komunalne takse za držanje motornih drumskih i priključnih vozila, osim poljoprivrednih vozila i mašina, koja se plaća prilikom registracije vozila, utvrđuje se u sledećim iznosima: </w:t>
      </w:r>
    </w:p>
    <w:tbl>
      <w:tblPr>
        <w:tblW w:w="0" w:type="auto"/>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8188"/>
        <w:gridCol w:w="923"/>
      </w:tblGrid>
      <w:tr w:rsidR="00877152" w:rsidRPr="00877152" w:rsidTr="00877152">
        <w:trPr>
          <w:tblCellSpacing w:w="0" w:type="dxa"/>
        </w:trPr>
        <w:tc>
          <w:tcPr>
            <w:tcW w:w="0" w:type="auto"/>
            <w:gridSpan w:val="2"/>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 za teretna vozila: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za kamione do 2t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za kamione od 2t do 5t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za kamione od 5t do 12t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za kamione preko 12t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 za teretne i radne prikolice (za putničke automobile)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 za putnička vozila: </w:t>
            </w:r>
          </w:p>
        </w:tc>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do 1.150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1.150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1.300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1.300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1.600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1.600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2.000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2.000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3.000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3.000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5.000 dinara. </w:t>
            </w:r>
          </w:p>
        </w:tc>
      </w:tr>
      <w:tr w:rsidR="00877152" w:rsidRPr="00877152" w:rsidTr="00877152">
        <w:trPr>
          <w:tblCellSpacing w:w="0" w:type="dxa"/>
        </w:trPr>
        <w:tc>
          <w:tcPr>
            <w:tcW w:w="0" w:type="auto"/>
            <w:gridSpan w:val="2"/>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 za motocikle: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do 125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125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250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600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250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500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500 cm</w:t>
            </w:r>
            <w:r w:rsidRPr="00877152">
              <w:rPr>
                <w:rFonts w:ascii="Arial" w:eastAsia="Times New Roman" w:hAnsi="Arial" w:cs="Arial"/>
                <w:color w:val="000000"/>
                <w:sz w:val="15"/>
                <w:vertAlign w:val="superscript"/>
                <w:lang w:eastAsia="sr-Latn-CS"/>
              </w:rPr>
              <w:t>3</w:t>
            </w:r>
            <w:r w:rsidRPr="00877152">
              <w:rPr>
                <w:rFonts w:ascii="Arial" w:eastAsia="Times New Roman" w:hAnsi="Arial" w:cs="Arial"/>
                <w:color w:val="000000"/>
                <w:sz w:val="18"/>
                <w:szCs w:val="18"/>
                <w:lang w:eastAsia="sr-Latn-CS"/>
              </w:rPr>
              <w:t xml:space="preserve"> do 1.200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1.200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preko 1.200 cm</w:t>
            </w:r>
            <w:r w:rsidRPr="00877152">
              <w:rPr>
                <w:rFonts w:ascii="Arial" w:eastAsia="Times New Roman" w:hAnsi="Arial" w:cs="Arial"/>
                <w:color w:val="000000"/>
                <w:sz w:val="15"/>
                <w:vertAlign w:val="superscript"/>
                <w:lang w:eastAsia="sr-Latn-CS"/>
              </w:rPr>
              <w:t>3</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1.500 dinara; </w:t>
            </w:r>
          </w:p>
        </w:tc>
      </w:tr>
      <w:tr w:rsidR="00877152" w:rsidRPr="00877152" w:rsidTr="00877152">
        <w:trPr>
          <w:tblCellSpacing w:w="0" w:type="dxa"/>
        </w:trPr>
        <w:tc>
          <w:tcPr>
            <w:tcW w:w="0" w:type="auto"/>
            <w:gridSpan w:val="2"/>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 za autobuse i kombi autobuse 50 dinara po registrovanom sedištu; </w:t>
            </w:r>
          </w:p>
        </w:tc>
      </w:tr>
      <w:tr w:rsidR="00877152" w:rsidRPr="00877152" w:rsidTr="00877152">
        <w:trPr>
          <w:tblCellSpacing w:w="0" w:type="dxa"/>
        </w:trPr>
        <w:tc>
          <w:tcPr>
            <w:tcW w:w="0" w:type="auto"/>
            <w:gridSpan w:val="2"/>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6) za priključna vozila: teretne prikolice, poluprikolice i specijalne teretne prikolice za prevoz određenih vrsta tereta: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1t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od 1t do 5t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700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od 5t do 10t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950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lastRenderedPageBreak/>
              <w:t xml:space="preserve">• od 10t do 12t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1.300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preko 12t nosivosti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2.000 dinara; </w:t>
            </w:r>
          </w:p>
        </w:tc>
      </w:tr>
      <w:tr w:rsidR="00877152" w:rsidRPr="00877152" w:rsidTr="00877152">
        <w:trPr>
          <w:tblCellSpacing w:w="0" w:type="dxa"/>
        </w:trPr>
        <w:tc>
          <w:tcPr>
            <w:tcW w:w="0" w:type="auto"/>
            <w:gridSpan w:val="2"/>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7) za vučna vozila (tegljače);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čija je snaga motora do 66 kilovata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čija je snaga motora od 66 do 96 kilovata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čija je snaga motora od 96 do 132 kilovata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2.500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čija je snaga motora od 132 do 177 kilovata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čija je snaga motora preko 177 kilovata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4.000 dinara; </w:t>
            </w:r>
          </w:p>
        </w:tc>
      </w:tr>
      <w:tr w:rsidR="00877152" w:rsidRPr="00877152" w:rsidTr="00877152">
        <w:trPr>
          <w:tblCellSpacing w:w="0" w:type="dxa"/>
        </w:trPr>
        <w:tc>
          <w:tcPr>
            <w:tcW w:w="0" w:type="auto"/>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8) za radna vozila, specijalna adaptirana vozila za prevoz rekvizita za putujuće zabave, radnje i atestirana specijalizovana vozila za prevoz pčela </w:t>
            </w:r>
          </w:p>
        </w:tc>
        <w:tc>
          <w:tcPr>
            <w:tcW w:w="0" w:type="auto"/>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1.000 dinara. </w:t>
            </w:r>
          </w:p>
        </w:tc>
      </w:tr>
    </w:tbl>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21" w:name="str_8"/>
      <w:bookmarkEnd w:id="21"/>
      <w:r w:rsidRPr="00877152">
        <w:rPr>
          <w:rFonts w:ascii="Arial" w:eastAsia="Times New Roman" w:hAnsi="Arial" w:cs="Arial"/>
          <w:b/>
          <w:bCs/>
          <w:color w:val="000000"/>
          <w:sz w:val="20"/>
          <w:szCs w:val="20"/>
          <w:lang w:eastAsia="sr-Latn-CS"/>
        </w:rPr>
        <w:t xml:space="preserve">Tarifni broj 7.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lagerovanje građevinskih i drugih materijala na javnim površinama plaća se taksa i to: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2,90 dinara po m</w:t>
      </w:r>
      <w:r w:rsidRPr="00877152">
        <w:rPr>
          <w:rFonts w:ascii="Arial" w:eastAsia="Times New Roman" w:hAnsi="Arial" w:cs="Arial"/>
          <w:color w:val="000000"/>
          <w:sz w:val="15"/>
          <w:vertAlign w:val="superscript"/>
          <w:lang w:eastAsia="sr-Latn-CS"/>
        </w:rPr>
        <w:t>2</w:t>
      </w:r>
      <w:r w:rsidRPr="00877152">
        <w:rPr>
          <w:rFonts w:ascii="Arial" w:eastAsia="Times New Roman" w:hAnsi="Arial" w:cs="Arial"/>
          <w:color w:val="000000"/>
          <w:sz w:val="18"/>
          <w:szCs w:val="18"/>
          <w:lang w:eastAsia="sr-Latn-CS"/>
        </w:rPr>
        <w:t xml:space="preserve"> dnevno.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NAPOMENA: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 Taksa po ovom tarifnom broju plaća se srazmerno vremenu korišćenja.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 Naplatu takse po ovom tarifnom broju vrši Gradska uprava za urbanizam, komunalne i inspekcijske poslove prilikom izdavanja odobrenja za privremeno korišćenje javne površine. </w:t>
      </w:r>
    </w:p>
    <w:p w:rsidR="00877152" w:rsidRPr="00877152" w:rsidRDefault="00877152" w:rsidP="00877152">
      <w:pPr>
        <w:shd w:val="clear" w:color="auto" w:fill="FFFFFF"/>
        <w:spacing w:before="240" w:after="240" w:line="240" w:lineRule="auto"/>
        <w:jc w:val="center"/>
        <w:rPr>
          <w:rFonts w:ascii="Arial" w:eastAsia="Times New Roman" w:hAnsi="Arial" w:cs="Arial"/>
          <w:b/>
          <w:bCs/>
          <w:color w:val="000000"/>
          <w:sz w:val="20"/>
          <w:szCs w:val="20"/>
          <w:lang w:eastAsia="sr-Latn-CS"/>
        </w:rPr>
      </w:pPr>
      <w:bookmarkStart w:id="22" w:name="str_9"/>
      <w:bookmarkEnd w:id="22"/>
      <w:r w:rsidRPr="00877152">
        <w:rPr>
          <w:rFonts w:ascii="Arial" w:eastAsia="Times New Roman" w:hAnsi="Arial" w:cs="Arial"/>
          <w:b/>
          <w:bCs/>
          <w:color w:val="000000"/>
          <w:sz w:val="20"/>
          <w:szCs w:val="20"/>
          <w:lang w:eastAsia="sr-Latn-CS"/>
        </w:rPr>
        <w:t xml:space="preserve">Tarifni broj 8. </w:t>
      </w:r>
    </w:p>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Za korišćenje prostora za parkiranje drumskih, motornih i priključnih vozila na posebnim javnim parkiralištima, plaća se taksa i to: </w:t>
      </w:r>
    </w:p>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r w:rsidRPr="00877152">
        <w:rPr>
          <w:rFonts w:ascii="Arial" w:eastAsia="Times New Roman" w:hAnsi="Arial" w:cs="Arial"/>
          <w:b/>
          <w:bCs/>
          <w:color w:val="000000"/>
          <w:sz w:val="20"/>
          <w:szCs w:val="20"/>
          <w:lang w:eastAsia="sr-Latn-CS"/>
        </w:rPr>
        <w:t xml:space="preserve">I </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70"/>
        <w:gridCol w:w="3642"/>
        <w:gridCol w:w="680"/>
      </w:tblGrid>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ZONA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JEDNOKRATNO PARKIRANJE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TAKSA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započeti čas parkiranja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42,50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započeti čas parkiranja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35,50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rezervaciju parking mesta-dnevno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510,00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rezervaciju parking mesta - dnevno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430,00 </w:t>
            </w:r>
          </w:p>
        </w:tc>
      </w:tr>
    </w:tbl>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r w:rsidRPr="00877152">
        <w:rPr>
          <w:rFonts w:ascii="Arial" w:eastAsia="Times New Roman" w:hAnsi="Arial" w:cs="Arial"/>
          <w:b/>
          <w:bCs/>
          <w:color w:val="000000"/>
          <w:sz w:val="20"/>
          <w:szCs w:val="20"/>
          <w:lang w:eastAsia="sr-Latn-CS"/>
        </w:rPr>
        <w:t xml:space="preserve">II </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70"/>
        <w:gridCol w:w="6634"/>
        <w:gridCol w:w="861"/>
      </w:tblGrid>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ZONA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POVLAŠĆENO PARKIRANJE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TAKSA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MESEČNO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fizička lica (stanari u ulici stanovanja)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450,00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pravna lica i preduzetnike (ulica sedište firme)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2.180,00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POLUGODIŠNJE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fizička lica (stanari u ulici stanovanja)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2.475,00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pravna lica i preduzetnike (ulica i sedište firme)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11.990,00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GODIŠNJE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lastRenderedPageBreak/>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fizička lica (stanari u ulici stanovanja)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4.500,00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pravna lica i preduzetnike (ulica, sedište firme)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21.800,00 </w:t>
            </w:r>
          </w:p>
        </w:tc>
      </w:tr>
    </w:tbl>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r w:rsidRPr="00877152">
        <w:rPr>
          <w:rFonts w:ascii="Arial" w:eastAsia="Times New Roman" w:hAnsi="Arial" w:cs="Arial"/>
          <w:b/>
          <w:bCs/>
          <w:color w:val="000000"/>
          <w:sz w:val="20"/>
          <w:szCs w:val="20"/>
          <w:lang w:eastAsia="sr-Latn-CS"/>
        </w:rPr>
        <w:t xml:space="preserve">III </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70"/>
        <w:gridCol w:w="4933"/>
        <w:gridCol w:w="861"/>
      </w:tblGrid>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ZONA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PRETPLATA NA PARKIRANJE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TAKSA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MESEČNO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fizička lica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1.750,00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pravna lica i preduzetnike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2.470,00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POLUGODIŠNJE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fizička lica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9.625,00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pravna lica i preduzetnike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13.585,00 </w:t>
            </w:r>
          </w:p>
        </w:tc>
      </w:tr>
    </w:tbl>
    <w:p w:rsidR="00877152" w:rsidRPr="00877152" w:rsidRDefault="00877152" w:rsidP="00877152">
      <w:pPr>
        <w:shd w:val="clear" w:color="auto" w:fill="FFFFFF"/>
        <w:spacing w:after="0" w:line="240" w:lineRule="auto"/>
        <w:rPr>
          <w:rFonts w:ascii="Arial" w:eastAsia="Times New Roman" w:hAnsi="Arial" w:cs="Arial"/>
          <w:color w:val="000000"/>
          <w:lang w:eastAsia="sr-Latn-CS"/>
        </w:rPr>
      </w:pPr>
      <w:r w:rsidRPr="00877152">
        <w:rPr>
          <w:rFonts w:ascii="Arial" w:eastAsia="Times New Roman" w:hAnsi="Arial" w:cs="Arial"/>
          <w:color w:val="000000"/>
          <w:lang w:eastAsia="sr-Latn-CS"/>
        </w:rPr>
        <w:t xml:space="preserve">  </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61"/>
        <w:gridCol w:w="4933"/>
        <w:gridCol w:w="861"/>
      </w:tblGrid>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GODIŠNJA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fizička lica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17.500,00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II, 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celodnevno parkiranje za pravna lica i preduzetnike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24.700,00 </w:t>
            </w:r>
          </w:p>
        </w:tc>
      </w:tr>
    </w:tbl>
    <w:p w:rsidR="00877152" w:rsidRPr="00877152" w:rsidRDefault="00877152" w:rsidP="00877152">
      <w:pPr>
        <w:shd w:val="clear" w:color="auto" w:fill="FFFFFF"/>
        <w:spacing w:before="240" w:after="120" w:line="240" w:lineRule="auto"/>
        <w:jc w:val="center"/>
        <w:rPr>
          <w:rFonts w:ascii="Arial" w:eastAsia="Times New Roman" w:hAnsi="Arial" w:cs="Arial"/>
          <w:b/>
          <w:bCs/>
          <w:color w:val="000000"/>
          <w:sz w:val="20"/>
          <w:szCs w:val="20"/>
          <w:lang w:eastAsia="sr-Latn-CS"/>
        </w:rPr>
      </w:pPr>
      <w:r w:rsidRPr="00877152">
        <w:rPr>
          <w:rFonts w:ascii="Arial" w:eastAsia="Times New Roman" w:hAnsi="Arial" w:cs="Arial"/>
          <w:b/>
          <w:bCs/>
          <w:color w:val="000000"/>
          <w:sz w:val="20"/>
          <w:szCs w:val="20"/>
          <w:lang w:eastAsia="sr-Latn-CS"/>
        </w:rPr>
        <w:t xml:space="preserve">IV </w:t>
      </w:r>
    </w:p>
    <w:tbl>
      <w:tblPr>
        <w:tblW w:w="0" w:type="auto"/>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70"/>
        <w:gridCol w:w="3731"/>
        <w:gridCol w:w="961"/>
      </w:tblGrid>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ZONA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TAKSA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MESEČNO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12.000,00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9.500,00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5.500,00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POLUGODIŠNJE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66.000,00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52.000,00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30.000,00 </w:t>
            </w:r>
          </w:p>
        </w:tc>
      </w:tr>
      <w:tr w:rsidR="00877152" w:rsidRPr="00877152" w:rsidTr="008771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center"/>
              <w:rPr>
                <w:rFonts w:ascii="Arial" w:eastAsia="Times New Roman" w:hAnsi="Arial" w:cs="Arial"/>
                <w:b/>
                <w:bCs/>
                <w:color w:val="000000"/>
                <w:sz w:val="18"/>
                <w:szCs w:val="18"/>
                <w:lang w:eastAsia="sr-Latn-CS"/>
              </w:rPr>
            </w:pPr>
            <w:r w:rsidRPr="00877152">
              <w:rPr>
                <w:rFonts w:ascii="Arial" w:eastAsia="Times New Roman" w:hAnsi="Arial" w:cs="Arial"/>
                <w:b/>
                <w:bCs/>
                <w:color w:val="000000"/>
                <w:sz w:val="18"/>
                <w:szCs w:val="18"/>
                <w:lang w:eastAsia="sr-Latn-CS"/>
              </w:rPr>
              <w:t xml:space="preserve">GODIŠNJA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120.000,00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95.000,00 </w:t>
            </w:r>
          </w:p>
        </w:tc>
      </w:tr>
      <w:tr w:rsidR="00877152" w:rsidRPr="00877152" w:rsidTr="008771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Taksa za zakup rezervisanog parking mesta </w:t>
            </w:r>
          </w:p>
        </w:tc>
        <w:tc>
          <w:tcPr>
            <w:tcW w:w="0" w:type="auto"/>
            <w:tcBorders>
              <w:top w:val="outset" w:sz="6" w:space="0" w:color="auto"/>
              <w:left w:val="outset" w:sz="6" w:space="0" w:color="auto"/>
              <w:bottom w:val="outset" w:sz="6" w:space="0" w:color="auto"/>
              <w:right w:val="outset" w:sz="6" w:space="0" w:color="auto"/>
            </w:tcBorders>
            <w:hideMark/>
          </w:tcPr>
          <w:p w:rsidR="00877152" w:rsidRPr="00877152" w:rsidRDefault="00877152" w:rsidP="00877152">
            <w:pPr>
              <w:spacing w:before="48" w:after="48" w:line="240" w:lineRule="auto"/>
              <w:jc w:val="right"/>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55.000,00 </w:t>
            </w:r>
          </w:p>
        </w:tc>
      </w:tr>
    </w:tbl>
    <w:p w:rsidR="00877152" w:rsidRPr="00877152" w:rsidRDefault="00877152" w:rsidP="00877152">
      <w:pPr>
        <w:shd w:val="clear" w:color="auto" w:fill="FFFFFF"/>
        <w:spacing w:before="48" w:after="48" w:line="240" w:lineRule="auto"/>
        <w:rPr>
          <w:rFonts w:ascii="Arial" w:eastAsia="Times New Roman" w:hAnsi="Arial" w:cs="Arial"/>
          <w:color w:val="000000"/>
          <w:sz w:val="18"/>
          <w:szCs w:val="18"/>
          <w:lang w:eastAsia="sr-Latn-CS"/>
        </w:rPr>
      </w:pPr>
      <w:r w:rsidRPr="00877152">
        <w:rPr>
          <w:rFonts w:ascii="Arial" w:eastAsia="Times New Roman" w:hAnsi="Arial" w:cs="Arial"/>
          <w:color w:val="000000"/>
          <w:sz w:val="18"/>
          <w:szCs w:val="18"/>
          <w:lang w:eastAsia="sr-Latn-CS"/>
        </w:rPr>
        <w:t xml:space="preserve">Rezervacija i zakup rezervisanog parking mesta (mesečno, godišnje i polugodišnje) vrši se u skladu sa odredbama člana 17. do 20. Odluke o javnim parkiralištima grada Sremska Mitrovica. </w:t>
      </w:r>
    </w:p>
    <w:p w:rsidR="00660646" w:rsidRDefault="00660646"/>
    <w:sectPr w:rsidR="00660646" w:rsidSect="00660646">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152"/>
    <w:rsid w:val="00660646"/>
    <w:rsid w:val="0087715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46"/>
  </w:style>
  <w:style w:type="paragraph" w:styleId="Heading6">
    <w:name w:val="heading 6"/>
    <w:basedOn w:val="Normal"/>
    <w:link w:val="Heading6Char"/>
    <w:uiPriority w:val="9"/>
    <w:qFormat/>
    <w:rsid w:val="00877152"/>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77152"/>
    <w:rPr>
      <w:rFonts w:ascii="Times New Roman" w:eastAsia="Times New Roman" w:hAnsi="Times New Roman" w:cs="Times New Roman"/>
      <w:b/>
      <w:bCs/>
      <w:sz w:val="15"/>
      <w:szCs w:val="15"/>
      <w:lang w:eastAsia="sr-Latn-CS"/>
    </w:rPr>
  </w:style>
  <w:style w:type="paragraph" w:customStyle="1" w:styleId="clan">
    <w:name w:val="clan"/>
    <w:basedOn w:val="Normal"/>
    <w:rsid w:val="00877152"/>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877152"/>
    <w:pPr>
      <w:spacing w:before="48" w:after="48" w:line="240" w:lineRule="auto"/>
    </w:pPr>
    <w:rPr>
      <w:rFonts w:ascii="Arial" w:eastAsia="Times New Roman" w:hAnsi="Arial" w:cs="Arial"/>
      <w:lang w:eastAsia="sr-Latn-CS"/>
    </w:rPr>
  </w:style>
  <w:style w:type="paragraph" w:customStyle="1" w:styleId="normaltd">
    <w:name w:val="normaltd"/>
    <w:basedOn w:val="Normal"/>
    <w:rsid w:val="00877152"/>
    <w:pPr>
      <w:spacing w:before="48" w:after="48" w:line="240" w:lineRule="auto"/>
      <w:jc w:val="right"/>
    </w:pPr>
    <w:rPr>
      <w:rFonts w:ascii="Arial" w:eastAsia="Times New Roman" w:hAnsi="Arial" w:cs="Arial"/>
      <w:lang w:eastAsia="sr-Latn-CS"/>
    </w:rPr>
  </w:style>
  <w:style w:type="paragraph" w:customStyle="1" w:styleId="samostalni">
    <w:name w:val="samostalni"/>
    <w:basedOn w:val="Normal"/>
    <w:rsid w:val="00877152"/>
    <w:pPr>
      <w:spacing w:before="48" w:after="48"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877152"/>
    <w:pPr>
      <w:spacing w:before="48" w:after="48" w:line="240" w:lineRule="auto"/>
      <w:jc w:val="center"/>
    </w:pPr>
    <w:rPr>
      <w:rFonts w:ascii="Arial" w:eastAsia="Times New Roman" w:hAnsi="Arial" w:cs="Arial"/>
      <w:i/>
      <w:iCs/>
      <w:lang w:eastAsia="sr-Latn-CS"/>
    </w:rPr>
  </w:style>
  <w:style w:type="paragraph" w:customStyle="1" w:styleId="podnaslovpropisa">
    <w:name w:val="podnaslovpropisa"/>
    <w:basedOn w:val="Normal"/>
    <w:rsid w:val="00877152"/>
    <w:pPr>
      <w:shd w:val="clear" w:color="auto" w:fill="000000"/>
      <w:spacing w:after="0" w:line="240" w:lineRule="auto"/>
      <w:jc w:val="center"/>
    </w:pPr>
    <w:rPr>
      <w:rFonts w:ascii="Arial" w:eastAsia="Times New Roman" w:hAnsi="Arial" w:cs="Arial"/>
      <w:b/>
      <w:bCs/>
      <w:i/>
      <w:iCs/>
      <w:color w:val="FFE8BF"/>
      <w:sz w:val="26"/>
      <w:szCs w:val="26"/>
      <w:lang w:eastAsia="sr-Latn-CS"/>
    </w:rPr>
  </w:style>
  <w:style w:type="paragraph" w:customStyle="1" w:styleId="normalboldcentar">
    <w:name w:val="normalboldcentar"/>
    <w:basedOn w:val="Normal"/>
    <w:rsid w:val="00877152"/>
    <w:pPr>
      <w:spacing w:before="48" w:after="48" w:line="240" w:lineRule="auto"/>
      <w:jc w:val="center"/>
    </w:pPr>
    <w:rPr>
      <w:rFonts w:ascii="Arial" w:eastAsia="Times New Roman" w:hAnsi="Arial" w:cs="Arial"/>
      <w:b/>
      <w:bCs/>
      <w:lang w:eastAsia="sr-Latn-CS"/>
    </w:rPr>
  </w:style>
  <w:style w:type="paragraph" w:customStyle="1" w:styleId="normalprored">
    <w:name w:val="normalprored"/>
    <w:basedOn w:val="Normal"/>
    <w:rsid w:val="00877152"/>
    <w:pPr>
      <w:spacing w:after="0" w:line="240" w:lineRule="auto"/>
    </w:pPr>
    <w:rPr>
      <w:rFonts w:ascii="Arial" w:eastAsia="Times New Roman" w:hAnsi="Arial" w:cs="Arial"/>
      <w:sz w:val="26"/>
      <w:szCs w:val="26"/>
      <w:lang w:eastAsia="sr-Latn-CS"/>
    </w:rPr>
  </w:style>
  <w:style w:type="paragraph" w:customStyle="1" w:styleId="wyq050---odeljak">
    <w:name w:val="wyq050---odeljak"/>
    <w:basedOn w:val="Normal"/>
    <w:rsid w:val="00877152"/>
    <w:pPr>
      <w:spacing w:after="0" w:line="240" w:lineRule="auto"/>
      <w:jc w:val="center"/>
    </w:pPr>
    <w:rPr>
      <w:rFonts w:ascii="Arial" w:eastAsia="Times New Roman" w:hAnsi="Arial" w:cs="Arial"/>
      <w:b/>
      <w:bCs/>
      <w:sz w:val="31"/>
      <w:szCs w:val="31"/>
      <w:lang w:eastAsia="sr-Latn-CS"/>
    </w:rPr>
  </w:style>
  <w:style w:type="paragraph" w:customStyle="1" w:styleId="wyq110---naslov-clana">
    <w:name w:val="wyq110---naslov-clana"/>
    <w:basedOn w:val="Normal"/>
    <w:rsid w:val="00877152"/>
    <w:pPr>
      <w:spacing w:before="240" w:after="240" w:line="240" w:lineRule="auto"/>
      <w:jc w:val="center"/>
    </w:pPr>
    <w:rPr>
      <w:rFonts w:ascii="Arial" w:eastAsia="Times New Roman" w:hAnsi="Arial" w:cs="Arial"/>
      <w:b/>
      <w:bCs/>
      <w:sz w:val="24"/>
      <w:szCs w:val="24"/>
      <w:lang w:eastAsia="sr-Latn-CS"/>
    </w:rPr>
  </w:style>
  <w:style w:type="character" w:customStyle="1" w:styleId="stepen1">
    <w:name w:val="stepen1"/>
    <w:basedOn w:val="DefaultParagraphFont"/>
    <w:rsid w:val="00877152"/>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2029985708">
      <w:bodyDiv w:val="1"/>
      <w:marLeft w:val="0"/>
      <w:marRight w:val="0"/>
      <w:marTop w:val="0"/>
      <w:marBottom w:val="0"/>
      <w:divBdr>
        <w:top w:val="none" w:sz="0" w:space="0" w:color="auto"/>
        <w:left w:val="none" w:sz="0" w:space="0" w:color="auto"/>
        <w:bottom w:val="none" w:sz="0" w:space="0" w:color="auto"/>
        <w:right w:val="none" w:sz="0" w:space="0" w:color="auto"/>
      </w:divBdr>
      <w:divsChild>
        <w:div w:id="971667094">
          <w:marLeft w:val="0"/>
          <w:marRight w:val="0"/>
          <w:marTop w:val="0"/>
          <w:marBottom w:val="0"/>
          <w:divBdr>
            <w:top w:val="none" w:sz="0" w:space="0" w:color="auto"/>
            <w:left w:val="none" w:sz="0" w:space="0" w:color="auto"/>
            <w:bottom w:val="none" w:sz="0" w:space="0" w:color="auto"/>
            <w:right w:val="none" w:sz="0" w:space="0" w:color="auto"/>
          </w:divBdr>
          <w:divsChild>
            <w:div w:id="980385215">
              <w:marLeft w:val="0"/>
              <w:marRight w:val="0"/>
              <w:marTop w:val="0"/>
              <w:marBottom w:val="0"/>
              <w:divBdr>
                <w:top w:val="none" w:sz="0" w:space="0" w:color="auto"/>
                <w:left w:val="none" w:sz="0" w:space="0" w:color="auto"/>
                <w:bottom w:val="none" w:sz="0" w:space="0" w:color="auto"/>
                <w:right w:val="none" w:sz="0" w:space="0" w:color="auto"/>
              </w:divBdr>
              <w:divsChild>
                <w:div w:id="1311446462">
                  <w:marLeft w:val="0"/>
                  <w:marRight w:val="0"/>
                  <w:marTop w:val="0"/>
                  <w:marBottom w:val="0"/>
                  <w:divBdr>
                    <w:top w:val="none" w:sz="0" w:space="0" w:color="auto"/>
                    <w:left w:val="none" w:sz="0" w:space="0" w:color="auto"/>
                    <w:bottom w:val="none" w:sz="0" w:space="0" w:color="auto"/>
                    <w:right w:val="none" w:sz="0" w:space="0" w:color="auto"/>
                  </w:divBdr>
                  <w:divsChild>
                    <w:div w:id="683703724">
                      <w:marLeft w:val="0"/>
                      <w:marRight w:val="0"/>
                      <w:marTop w:val="0"/>
                      <w:marBottom w:val="0"/>
                      <w:divBdr>
                        <w:top w:val="none" w:sz="0" w:space="0" w:color="auto"/>
                        <w:left w:val="none" w:sz="0" w:space="0" w:color="auto"/>
                        <w:bottom w:val="none" w:sz="0" w:space="0" w:color="auto"/>
                        <w:right w:val="none" w:sz="0" w:space="0" w:color="auto"/>
                      </w:divBdr>
                      <w:divsChild>
                        <w:div w:id="323823847">
                          <w:marLeft w:val="0"/>
                          <w:marRight w:val="0"/>
                          <w:marTop w:val="0"/>
                          <w:marBottom w:val="0"/>
                          <w:divBdr>
                            <w:top w:val="none" w:sz="0" w:space="0" w:color="auto"/>
                            <w:left w:val="none" w:sz="0" w:space="0" w:color="auto"/>
                            <w:bottom w:val="none" w:sz="0" w:space="0" w:color="auto"/>
                            <w:right w:val="none" w:sz="0" w:space="0" w:color="auto"/>
                          </w:divBdr>
                          <w:divsChild>
                            <w:div w:id="1941327618">
                              <w:marLeft w:val="0"/>
                              <w:marRight w:val="0"/>
                              <w:marTop w:val="0"/>
                              <w:marBottom w:val="0"/>
                              <w:divBdr>
                                <w:top w:val="none" w:sz="0" w:space="0" w:color="auto"/>
                                <w:left w:val="none" w:sz="0" w:space="0" w:color="auto"/>
                                <w:bottom w:val="none" w:sz="0" w:space="0" w:color="auto"/>
                                <w:right w:val="none" w:sz="0" w:space="0" w:color="auto"/>
                              </w:divBdr>
                              <w:divsChild>
                                <w:div w:id="1623992996">
                                  <w:marLeft w:val="0"/>
                                  <w:marRight w:val="0"/>
                                  <w:marTop w:val="0"/>
                                  <w:marBottom w:val="0"/>
                                  <w:divBdr>
                                    <w:top w:val="none" w:sz="0" w:space="0" w:color="auto"/>
                                    <w:left w:val="none" w:sz="0" w:space="0" w:color="auto"/>
                                    <w:bottom w:val="none" w:sz="0" w:space="0" w:color="auto"/>
                                    <w:right w:val="none" w:sz="0" w:space="0" w:color="auto"/>
                                  </w:divBdr>
                                  <w:divsChild>
                                    <w:div w:id="1984383103">
                                      <w:marLeft w:val="0"/>
                                      <w:marRight w:val="0"/>
                                      <w:marTop w:val="0"/>
                                      <w:marBottom w:val="0"/>
                                      <w:divBdr>
                                        <w:top w:val="none" w:sz="0" w:space="0" w:color="auto"/>
                                        <w:left w:val="none" w:sz="0" w:space="0" w:color="auto"/>
                                        <w:bottom w:val="none" w:sz="0" w:space="0" w:color="auto"/>
                                        <w:right w:val="none" w:sz="0" w:space="0" w:color="auto"/>
                                      </w:divBdr>
                                      <w:divsChild>
                                        <w:div w:id="1963263860">
                                          <w:marLeft w:val="0"/>
                                          <w:marRight w:val="0"/>
                                          <w:marTop w:val="0"/>
                                          <w:marBottom w:val="0"/>
                                          <w:divBdr>
                                            <w:top w:val="none" w:sz="0" w:space="0" w:color="auto"/>
                                            <w:left w:val="none" w:sz="0" w:space="0" w:color="auto"/>
                                            <w:bottom w:val="none" w:sz="0" w:space="0" w:color="auto"/>
                                            <w:right w:val="none" w:sz="0" w:space="0" w:color="auto"/>
                                          </w:divBdr>
                                          <w:divsChild>
                                            <w:div w:id="30612371">
                                              <w:marLeft w:val="0"/>
                                              <w:marRight w:val="0"/>
                                              <w:marTop w:val="0"/>
                                              <w:marBottom w:val="0"/>
                                              <w:divBdr>
                                                <w:top w:val="none" w:sz="0" w:space="0" w:color="auto"/>
                                                <w:left w:val="none" w:sz="0" w:space="0" w:color="auto"/>
                                                <w:bottom w:val="none" w:sz="0" w:space="0" w:color="auto"/>
                                                <w:right w:val="none" w:sz="0" w:space="0" w:color="auto"/>
                                              </w:divBdr>
                                              <w:divsChild>
                                                <w:div w:id="1620527342">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2015-04-22T11:46:00Z</dcterms:created>
  <dcterms:modified xsi:type="dcterms:W3CDTF">2015-04-22T11:47:00Z</dcterms:modified>
</cp:coreProperties>
</file>