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05" w:type="dxa"/>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14805"/>
      </w:tblGrid>
      <w:tr w:rsidR="00542594" w:rsidRPr="00542594" w:rsidTr="00542594">
        <w:trPr>
          <w:tblCellSpacing w:w="15" w:type="dxa"/>
        </w:trPr>
        <w:tc>
          <w:tcPr>
            <w:tcW w:w="0" w:type="auto"/>
            <w:shd w:val="clear" w:color="auto" w:fill="A41E1C"/>
            <w:vAlign w:val="center"/>
            <w:hideMark/>
          </w:tcPr>
          <w:p w:rsidR="00542594" w:rsidRPr="00542594" w:rsidRDefault="00542594" w:rsidP="00542594">
            <w:pPr>
              <w:spacing w:after="0" w:line="240" w:lineRule="auto"/>
              <w:ind w:right="975"/>
              <w:jc w:val="center"/>
              <w:outlineLvl w:val="5"/>
              <w:rPr>
                <w:rFonts w:ascii="Arial" w:eastAsia="Times New Roman" w:hAnsi="Arial" w:cs="Arial"/>
                <w:b/>
                <w:bCs/>
                <w:color w:val="FFE8BF"/>
                <w:sz w:val="29"/>
                <w:szCs w:val="29"/>
                <w:lang w:eastAsia="sr-Latn-RS"/>
              </w:rPr>
            </w:pPr>
            <w:r w:rsidRPr="00542594">
              <w:rPr>
                <w:rFonts w:ascii="Arial" w:eastAsia="Times New Roman" w:hAnsi="Arial" w:cs="Arial"/>
                <w:b/>
                <w:bCs/>
                <w:color w:val="FFE8BF"/>
                <w:sz w:val="29"/>
                <w:szCs w:val="29"/>
                <w:lang w:eastAsia="sr-Latn-RS"/>
              </w:rPr>
              <w:t>ODLUKA</w:t>
            </w:r>
          </w:p>
          <w:p w:rsidR="00542594" w:rsidRPr="00542594" w:rsidRDefault="00542594" w:rsidP="00542594">
            <w:pPr>
              <w:spacing w:before="240" w:after="240" w:line="240" w:lineRule="auto"/>
              <w:ind w:left="240" w:right="975"/>
              <w:jc w:val="center"/>
              <w:outlineLvl w:val="5"/>
              <w:rPr>
                <w:rFonts w:ascii="Arial" w:eastAsia="Times New Roman" w:hAnsi="Arial" w:cs="Arial"/>
                <w:b/>
                <w:bCs/>
                <w:color w:val="FFFFFF"/>
                <w:sz w:val="27"/>
                <w:szCs w:val="27"/>
                <w:lang w:eastAsia="sr-Latn-RS"/>
              </w:rPr>
            </w:pPr>
            <w:r w:rsidRPr="00542594">
              <w:rPr>
                <w:rFonts w:ascii="Arial" w:eastAsia="Times New Roman" w:hAnsi="Arial" w:cs="Arial"/>
                <w:b/>
                <w:bCs/>
                <w:color w:val="FFFFFF"/>
                <w:sz w:val="27"/>
                <w:szCs w:val="27"/>
                <w:lang w:eastAsia="sr-Latn-RS"/>
              </w:rPr>
              <w:t>O LOKALNIM KOMUNALNIM TAKSAMA</w:t>
            </w:r>
          </w:p>
          <w:p w:rsidR="00542594" w:rsidRPr="00542594" w:rsidRDefault="00542594" w:rsidP="00542594">
            <w:pPr>
              <w:shd w:val="clear" w:color="auto" w:fill="000000"/>
              <w:spacing w:after="0" w:line="240" w:lineRule="auto"/>
              <w:jc w:val="center"/>
              <w:rPr>
                <w:rFonts w:ascii="Arial" w:eastAsia="Times New Roman" w:hAnsi="Arial" w:cs="Arial"/>
                <w:b/>
                <w:bCs/>
                <w:i/>
                <w:iCs/>
                <w:color w:val="FFE8BF"/>
                <w:sz w:val="21"/>
                <w:szCs w:val="21"/>
                <w:lang w:eastAsia="sr-Latn-RS"/>
              </w:rPr>
            </w:pPr>
            <w:r w:rsidRPr="00542594">
              <w:rPr>
                <w:rFonts w:ascii="Arial" w:eastAsia="Times New Roman" w:hAnsi="Arial" w:cs="Arial"/>
                <w:b/>
                <w:bCs/>
                <w:i/>
                <w:iCs/>
                <w:color w:val="FFE8BF"/>
                <w:sz w:val="21"/>
                <w:szCs w:val="21"/>
                <w:lang w:eastAsia="sr-Latn-RS"/>
              </w:rPr>
              <w:t>("Sl. list grada Sremska Mitrovica", br. 19/2016 i 8-II/2017)</w:t>
            </w:r>
          </w:p>
        </w:tc>
      </w:tr>
    </w:tbl>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0" w:name="clan_1"/>
      <w:bookmarkEnd w:id="0"/>
      <w:r w:rsidRPr="00542594">
        <w:rPr>
          <w:rFonts w:ascii="Arial" w:eastAsia="Times New Roman" w:hAnsi="Arial" w:cs="Arial"/>
          <w:b/>
          <w:bCs/>
          <w:color w:val="000000"/>
          <w:sz w:val="20"/>
          <w:szCs w:val="20"/>
          <w:lang w:eastAsia="sr-Latn-RS"/>
        </w:rPr>
        <w:t>Član 1</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Ovom Odlukom utvrđuju se lokalne komunalne takse na teritoriji Grada Sremske Mitrovice.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 w:name="clan_2"/>
      <w:bookmarkEnd w:id="1"/>
      <w:r w:rsidRPr="00542594">
        <w:rPr>
          <w:rFonts w:ascii="Arial" w:eastAsia="Times New Roman" w:hAnsi="Arial" w:cs="Arial"/>
          <w:b/>
          <w:bCs/>
          <w:color w:val="000000"/>
          <w:sz w:val="20"/>
          <w:szCs w:val="20"/>
          <w:lang w:eastAsia="sr-Latn-RS"/>
        </w:rPr>
        <w:t>Član 2</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Obveznik lokalne komunalne takse jeste korisnik prava, predmeta ili usluga za čije je korišćenje propisano plaćanje lokalne komunalne takse.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2" w:name="clan_3"/>
      <w:bookmarkEnd w:id="2"/>
      <w:r w:rsidRPr="00542594">
        <w:rPr>
          <w:rFonts w:ascii="Arial" w:eastAsia="Times New Roman" w:hAnsi="Arial" w:cs="Arial"/>
          <w:b/>
          <w:bCs/>
          <w:color w:val="000000"/>
          <w:sz w:val="20"/>
          <w:szCs w:val="20"/>
          <w:lang w:eastAsia="sr-Latn-RS"/>
        </w:rPr>
        <w:t>Član 3</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Taksena obaveza nastaje danom početka korišćenja prava, predmeta ili usluge za čije je usluge propisano plaćanje lokalne komunalne takse.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Taksena obaveza traje dok traje korišćenje prava, predmeta ili usluge.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Obveznik lokalne komunalne takse je dužan podneti prijavu za utvrđivanje lokalne komunalne takse za isticanje firme na poslovnom prostoru i za držanje sredstava za igru ("zabavne igre") i obavestiti Gradsku upravu za budžet i lokalni ekonomski razvoj o nastanku, svim promenama i prestanku korišćenja prava, predmeta ili usluga i drugim činjenicama koje su od uticaja na primenu ove odluke, u roku od 15 dana od nastanka promena.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Prijave za utvrđivanje lokalnih komunalnih taksi su sastavni deo ove Odluke.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3" w:name="clan_4"/>
      <w:bookmarkEnd w:id="3"/>
      <w:r w:rsidRPr="00542594">
        <w:rPr>
          <w:rFonts w:ascii="Arial" w:eastAsia="Times New Roman" w:hAnsi="Arial" w:cs="Arial"/>
          <w:b/>
          <w:bCs/>
          <w:color w:val="000000"/>
          <w:sz w:val="20"/>
          <w:szCs w:val="20"/>
          <w:lang w:eastAsia="sr-Latn-RS"/>
        </w:rPr>
        <w:t>Član 4</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Lokalne komunalne takse ne plaćaju se za korišćenje prava, predmeta i usluga od strane državnih organa i organizacija, organa i organizacija teritorijalne autonomije i jedinica lokalne samouprave.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4" w:name="clan_5"/>
      <w:bookmarkEnd w:id="4"/>
      <w:r w:rsidRPr="00542594">
        <w:rPr>
          <w:rFonts w:ascii="Arial" w:eastAsia="Times New Roman" w:hAnsi="Arial" w:cs="Arial"/>
          <w:b/>
          <w:bCs/>
          <w:color w:val="000000"/>
          <w:sz w:val="20"/>
          <w:szCs w:val="20"/>
          <w:lang w:eastAsia="sr-Latn-RS"/>
        </w:rPr>
        <w:t>Član 5</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Lokalne komunalne takse uvode se za: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korišćenje prostora na javnim površinama ili ispred poslovnih prostorija u poslovne svrhe, osim radi prodaje štampe, knjiga i drugih publikacija, proizvoda starih i umetničkih zanata i domaće radinosti, kao i radi postavljanja telefonskih govornica,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 držanje sredstava za igru ("zabavne igre"),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 isticanje firme na poslovnim prostorijama,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 korišćenje reklamnih panoa, uključujući i isticanje i ispisivanje firme van poslovnog prostora na objektima i prostorima koji pripadaju jedinici lokalne samouprave (kolovozi, trotoari, zelene površine, bandere i sl.),</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 korišćenje slobodnih površina za kampovanje, postavljanje šatora ili druge objekte privremenog korišćenja,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6. držanje motornih drumskih i priključnih vozila, osim poljoprivrednih vozila i mašina,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7. lagerovanje građevinskih i drugih materijala na javnim površinama.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8. korišćenje prostora za parkiranje drumskih, motornih i priključnih vozila na uređenim i obeleženim mestima.</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5" w:name="clan_6"/>
      <w:bookmarkEnd w:id="5"/>
      <w:r w:rsidRPr="00542594">
        <w:rPr>
          <w:rFonts w:ascii="Arial" w:eastAsia="Times New Roman" w:hAnsi="Arial" w:cs="Arial"/>
          <w:b/>
          <w:bCs/>
          <w:color w:val="000000"/>
          <w:sz w:val="20"/>
          <w:szCs w:val="20"/>
          <w:lang w:eastAsia="sr-Latn-RS"/>
        </w:rPr>
        <w:t>Član 6</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Firma, u smislu ove odluke, jeste svaki istaknuti naziv ili ime koje upućuje na to da pravno ili fizičko lice obavlja određenu delatnost.</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Ako se na jednom poslovnom objektu nalazi više istaknutih firmi istog obveznika, taksa se plaća samo na jednu firmu.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Obveznik lokalne komunalne takse za isticanje firme je i pravno ili fizičko lice koje delatnost obavlja bez poslovne prostorije.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Neisticanje firme na poslovnom prostoru nije osnov za oslobođenje obveznika od plaćanja lokalne komunalne takse.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6" w:name="clan_7"/>
      <w:bookmarkEnd w:id="6"/>
      <w:r w:rsidRPr="00542594">
        <w:rPr>
          <w:rFonts w:ascii="Arial" w:eastAsia="Times New Roman" w:hAnsi="Arial" w:cs="Arial"/>
          <w:b/>
          <w:bCs/>
          <w:color w:val="000000"/>
          <w:sz w:val="20"/>
          <w:szCs w:val="20"/>
          <w:lang w:eastAsia="sr-Latn-RS"/>
        </w:rPr>
        <w:t>Član 7</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Nadzor nad sprovođenjem odredaba ove odluke vrše Gradska uprava za budžet i lokalni ekonomski razvoj i Gradska uprava za saobraćaj, komunalne i inspekcijske poslove.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7" w:name="clan_8"/>
      <w:bookmarkEnd w:id="7"/>
      <w:r w:rsidRPr="00542594">
        <w:rPr>
          <w:rFonts w:ascii="Arial" w:eastAsia="Times New Roman" w:hAnsi="Arial" w:cs="Arial"/>
          <w:b/>
          <w:bCs/>
          <w:color w:val="000000"/>
          <w:sz w:val="20"/>
          <w:szCs w:val="20"/>
          <w:lang w:eastAsia="sr-Latn-RS"/>
        </w:rPr>
        <w:t>Član 8</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Sredstva koja se ostvaruju naplaćivanjem lokalnih komunalnih taksa su prihod budžeta Grada.</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8" w:name="clan_9"/>
      <w:bookmarkEnd w:id="8"/>
      <w:r w:rsidRPr="00542594">
        <w:rPr>
          <w:rFonts w:ascii="Arial" w:eastAsia="Times New Roman" w:hAnsi="Arial" w:cs="Arial"/>
          <w:b/>
          <w:bCs/>
          <w:color w:val="000000"/>
          <w:sz w:val="20"/>
          <w:szCs w:val="20"/>
          <w:lang w:eastAsia="sr-Latn-RS"/>
        </w:rPr>
        <w:t>Član 9</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Visina, olakšice, rokovi i način naplate lokalnih komunalnih taksa utvrđuju se tarifom koja je sastavni deo ove Odluke.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9" w:name="clan_10"/>
      <w:bookmarkEnd w:id="9"/>
      <w:r w:rsidRPr="00542594">
        <w:rPr>
          <w:rFonts w:ascii="Arial" w:eastAsia="Times New Roman" w:hAnsi="Arial" w:cs="Arial"/>
          <w:b/>
          <w:bCs/>
          <w:color w:val="000000"/>
          <w:sz w:val="20"/>
          <w:szCs w:val="20"/>
          <w:lang w:eastAsia="sr-Latn-RS"/>
        </w:rPr>
        <w:t>Član 10</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Visinu lokalne komunalne takse za isticanje firme na poslovnom prostoru i za držanje sredstava za igru utvrđuje rešenjem Gradska uprava za budžet i lokalni ekonomski razvoj.</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Lokalna komunalna taksa za isticanje firme na poslovnom prostoru i za držanje sredstava za igru plaća se tromesečno, u roku od 45 dana od početka tromesečja.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Do dospelosti rešenja u tekućoj godini, obveznik je dužan da plaća utvrđeni iznos lokalne komunalne takse u visini koja odgovara utvrđenom iznosu lokalne komunalne takse iz prethodne godine.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Razliku između lokalne komunalne takse utvrđene rešenjem Gradske uprave za budžet i lokalni ekonomski razvoj i akontaciono uplaćene takse za tromesečja za koja je obaveza dospela, obveznik je dužan da uplati u roku od 15 dana od dana dostavljanja prvostepenog rešenja o utvrđivanju obaveze.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0" w:name="clan_11"/>
      <w:bookmarkEnd w:id="10"/>
      <w:r w:rsidRPr="00542594">
        <w:rPr>
          <w:rFonts w:ascii="Arial" w:eastAsia="Times New Roman" w:hAnsi="Arial" w:cs="Arial"/>
          <w:b/>
          <w:bCs/>
          <w:color w:val="000000"/>
          <w:sz w:val="20"/>
          <w:szCs w:val="20"/>
          <w:lang w:eastAsia="sr-Latn-RS"/>
        </w:rPr>
        <w:t>Član 11</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U pogledu načina utvrđivanja, postupka po pravnim lekovima, načina i rokova plaćanja takse, kamate, povraćaja takse, zastarelosti naplate, prinudne naplate, kaznenih odredaba i ostalog što nije posebno uređeno ovom odlukom, primenjuje se Zakon o poreskom postupku i poreskoj administraciji.</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1" w:name="clan_12"/>
      <w:bookmarkEnd w:id="11"/>
      <w:r w:rsidRPr="00542594">
        <w:rPr>
          <w:rFonts w:ascii="Arial" w:eastAsia="Times New Roman" w:hAnsi="Arial" w:cs="Arial"/>
          <w:b/>
          <w:bCs/>
          <w:color w:val="000000"/>
          <w:sz w:val="20"/>
          <w:szCs w:val="20"/>
          <w:lang w:eastAsia="sr-Latn-RS"/>
        </w:rPr>
        <w:t>Član 12</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Novčanom kaznom od 100.000,00 dinara kazniće se pravno lice ako: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ne podnese ili ne podnese u propisanom roku prijavu za utvrđivanje lokalne komunalne takse za isticanje firme i za držanje sredstava za igru,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u prijavu unese netačne podatke,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ne postupi po rešenju nadležne gradske uprave.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prekršaj iz prethodnog stava ovog člana, kazniće se novčanom kaznom od 30.000,00 dinara preduzetnik.</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2" w:name="clan_13"/>
      <w:bookmarkEnd w:id="12"/>
      <w:r w:rsidRPr="00542594">
        <w:rPr>
          <w:rFonts w:ascii="Arial" w:eastAsia="Times New Roman" w:hAnsi="Arial" w:cs="Arial"/>
          <w:b/>
          <w:bCs/>
          <w:color w:val="000000"/>
          <w:sz w:val="20"/>
          <w:szCs w:val="20"/>
          <w:lang w:eastAsia="sr-Latn-RS"/>
        </w:rPr>
        <w:t>Član 13</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Prekršajni postupak pokreće Gradska uprava za saobraćaj, komunalne i inspekcijske poslove i Gradska uprava za budžet i lokalni ekonomski razvoj, prema nadležnosti utvrđivanja komunalne takse.</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3" w:name="clan_14"/>
      <w:bookmarkEnd w:id="13"/>
      <w:r w:rsidRPr="00542594">
        <w:rPr>
          <w:rFonts w:ascii="Arial" w:eastAsia="Times New Roman" w:hAnsi="Arial" w:cs="Arial"/>
          <w:b/>
          <w:bCs/>
          <w:color w:val="000000"/>
          <w:sz w:val="20"/>
          <w:szCs w:val="20"/>
          <w:lang w:eastAsia="sr-Latn-RS"/>
        </w:rPr>
        <w:t>Član 14</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Stupanjem na snagu ove odluke prestaje da važi Odluka o lokalnim komunalnim taksama ("Službeni list grada Sremska Mitrovica", br. 13/2013 i 11/2014).</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bookmarkStart w:id="14" w:name="clan_15"/>
      <w:bookmarkEnd w:id="14"/>
      <w:r w:rsidRPr="00542594">
        <w:rPr>
          <w:rFonts w:ascii="Arial" w:eastAsia="Times New Roman" w:hAnsi="Arial" w:cs="Arial"/>
          <w:b/>
          <w:bCs/>
          <w:color w:val="000000"/>
          <w:sz w:val="20"/>
          <w:szCs w:val="20"/>
          <w:lang w:eastAsia="sr-Latn-RS"/>
        </w:rPr>
        <w:t>Član 15</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Ova odluka stupa na snagu osmog dana od dana objavljivanja u "Službenom listu grada Sremska Mitrovica", a primenjuje se od 01.01.2017. godine.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p w:rsidR="00542594" w:rsidRPr="00542594" w:rsidRDefault="00542594" w:rsidP="00542594">
      <w:pPr>
        <w:shd w:val="clear" w:color="auto" w:fill="FFFFFF"/>
        <w:spacing w:before="48" w:after="48" w:line="240" w:lineRule="auto"/>
        <w:jc w:val="center"/>
        <w:rPr>
          <w:rFonts w:ascii="Arial" w:eastAsia="Times New Roman" w:hAnsi="Arial" w:cs="Arial"/>
          <w:b/>
          <w:bCs/>
          <w:i/>
          <w:iCs/>
          <w:color w:val="000000"/>
          <w:sz w:val="20"/>
          <w:szCs w:val="20"/>
          <w:lang w:eastAsia="sr-Latn-RS"/>
        </w:rPr>
      </w:pPr>
      <w:r w:rsidRPr="00542594">
        <w:rPr>
          <w:rFonts w:ascii="Arial" w:eastAsia="Times New Roman" w:hAnsi="Arial" w:cs="Arial"/>
          <w:b/>
          <w:bCs/>
          <w:i/>
          <w:iCs/>
          <w:color w:val="000000"/>
          <w:sz w:val="20"/>
          <w:szCs w:val="20"/>
          <w:lang w:eastAsia="sr-Latn-RS"/>
        </w:rPr>
        <w:t>Samostalni član Odluke o izmenama i dopunama </w:t>
      </w:r>
      <w:r w:rsidRPr="00542594">
        <w:rPr>
          <w:rFonts w:ascii="Arial" w:eastAsia="Times New Roman" w:hAnsi="Arial" w:cs="Arial"/>
          <w:b/>
          <w:bCs/>
          <w:i/>
          <w:iCs/>
          <w:color w:val="000000"/>
          <w:sz w:val="20"/>
          <w:szCs w:val="20"/>
          <w:lang w:eastAsia="sr-Latn-RS"/>
        </w:rPr>
        <w:br/>
        <w:t>Odluke o lokalnim komunalnim taksama</w:t>
      </w:r>
    </w:p>
    <w:p w:rsidR="00542594" w:rsidRPr="00542594" w:rsidRDefault="00542594" w:rsidP="00542594">
      <w:pPr>
        <w:shd w:val="clear" w:color="auto" w:fill="FFFFFF"/>
        <w:spacing w:before="48" w:after="48" w:line="240" w:lineRule="auto"/>
        <w:jc w:val="center"/>
        <w:rPr>
          <w:rFonts w:ascii="Arial" w:eastAsia="Times New Roman" w:hAnsi="Arial" w:cs="Arial"/>
          <w:i/>
          <w:iCs/>
          <w:color w:val="000000"/>
          <w:sz w:val="18"/>
          <w:szCs w:val="18"/>
          <w:lang w:eastAsia="sr-Latn-RS"/>
        </w:rPr>
      </w:pPr>
      <w:r w:rsidRPr="00542594">
        <w:rPr>
          <w:rFonts w:ascii="Arial" w:eastAsia="Times New Roman" w:hAnsi="Arial" w:cs="Arial"/>
          <w:i/>
          <w:iCs/>
          <w:color w:val="000000"/>
          <w:sz w:val="18"/>
          <w:szCs w:val="18"/>
          <w:lang w:eastAsia="sr-Latn-RS"/>
        </w:rPr>
        <w:t>("Sl. list grada Sremska Mitrovica", br. 8-II/2017)</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r w:rsidRPr="00542594">
        <w:rPr>
          <w:rFonts w:ascii="Arial" w:eastAsia="Times New Roman" w:hAnsi="Arial" w:cs="Arial"/>
          <w:b/>
          <w:bCs/>
          <w:color w:val="000000"/>
          <w:sz w:val="20"/>
          <w:szCs w:val="20"/>
          <w:lang w:eastAsia="sr-Latn-RS"/>
        </w:rPr>
        <w:t>Član 2</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Ova Odluka stupa na snagu narednog dana od dana objavljivanja u "Službenom listu grada Sremska Mitrovica".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p w:rsidR="00542594" w:rsidRPr="00542594" w:rsidRDefault="00542594" w:rsidP="00542594">
      <w:pPr>
        <w:shd w:val="clear" w:color="auto" w:fill="FFFFFF"/>
        <w:spacing w:after="0" w:line="240" w:lineRule="auto"/>
        <w:jc w:val="center"/>
        <w:rPr>
          <w:rFonts w:ascii="Arial" w:eastAsia="Times New Roman" w:hAnsi="Arial" w:cs="Arial"/>
          <w:b/>
          <w:bCs/>
          <w:color w:val="000000"/>
          <w:sz w:val="25"/>
          <w:szCs w:val="25"/>
          <w:lang w:eastAsia="sr-Latn-RS"/>
        </w:rPr>
      </w:pPr>
      <w:bookmarkStart w:id="15" w:name="str_1"/>
      <w:bookmarkEnd w:id="15"/>
      <w:r w:rsidRPr="00542594">
        <w:rPr>
          <w:rFonts w:ascii="Arial" w:eastAsia="Times New Roman" w:hAnsi="Arial" w:cs="Arial"/>
          <w:b/>
          <w:bCs/>
          <w:color w:val="000000"/>
          <w:sz w:val="25"/>
          <w:szCs w:val="25"/>
          <w:lang w:eastAsia="sr-Latn-RS"/>
        </w:rPr>
        <w:t>TARIFA LOKALNIH KOMUNALNIH TAKSI</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16" w:name="str_2"/>
      <w:bookmarkEnd w:id="16"/>
      <w:r w:rsidRPr="00542594">
        <w:rPr>
          <w:rFonts w:ascii="Arial" w:eastAsia="Times New Roman" w:hAnsi="Arial" w:cs="Arial"/>
          <w:b/>
          <w:bCs/>
          <w:color w:val="000000"/>
          <w:sz w:val="20"/>
          <w:szCs w:val="20"/>
          <w:lang w:eastAsia="sr-Latn-RS"/>
        </w:rPr>
        <w:t>Tarifni broj 1.</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korišćenje prostora na javnim površinama ili ispred poslovnih prostorija u poslovne svrhe plaća se lokalna komunalna taksa i to:</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6"/>
        <w:gridCol w:w="2233"/>
      </w:tblGrid>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 u I zoni</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14,00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u II zoni</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11,00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u III zoni</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8,00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u IV zoni</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4,50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tc>
      </w:tr>
    </w:tbl>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Prva zona obuhvata javne površine koje se nalaze u Sremskoj Mitrovici u ulici: 28. marta, Branka Radičevića, Dositejeva, Đure Jakšića do Trga Nikole Pašića, Ilariona Ruvarca, Jevrema Vidića, Kralja Petra Prvog do ulice Stari šor, Masarikova, Muzejska, Parobrodska, Prolaz zeleno drvo, Promenada, Puškinova, Ribarska obala, Šećer sokak do Ulice dr. Ilije Bajića i do Prolaza zeleno drvo, Solarski trg, Svetla, Svetog Dimitrija, Svetog Save, Svetozara Miletića, Trg Ćire Milekića, Trg Nikole Pašića, Trg Svetog Stefana, Trg Vojvođanskih brigada, Vuka Karadžića, Zanatlijska i Žitni trg.</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Druga zona obuhvata ostale javne površine u Sremskoj Mitrovici.</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Treća zona obuhvata javne površine u Mačvanskoj Mitrovici i Laćarku.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Četvrta zona obuhvata javne površine u ostalim naseljenim mestima.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Visina takse plaća se srazmerno vremenu korišćenja prostora na javnim površinama u poslovne svrhe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 Naplatu takse po ovom tarifnom broju vrši Gradska uprava za urbanizam, prostorno planiranje i izgradnju objekata prilikom izdavanja odobrenja.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 Taksa iz ovog tarifnog broja ne plaća se za korišćenje prostora na javnim površinama radi prodaje štampe, knjiga i drugih publikacija, proizvoda starih i umetničkih zanata i domaće radinosti, kao i radi postavljanja telefonskih govornica i objekata za smeštaj telekomunikacione opreme.</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 Taksa iz ovog tarifnog broja umanjuje se za 80%, kada se plaća za korišćenje prostora na javnim površinama radi postavljanja perde.</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17" w:name="str_3"/>
      <w:bookmarkEnd w:id="17"/>
      <w:r w:rsidRPr="00542594">
        <w:rPr>
          <w:rFonts w:ascii="Arial" w:eastAsia="Times New Roman" w:hAnsi="Arial" w:cs="Arial"/>
          <w:b/>
          <w:bCs/>
          <w:color w:val="000000"/>
          <w:sz w:val="20"/>
          <w:szCs w:val="20"/>
          <w:lang w:eastAsia="sr-Latn-RS"/>
        </w:rPr>
        <w:t>Tarifni broj 2.</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držanje sredstava za igru u poslovne svrhe, plaća se taksa i to za: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zabavne igre 16,00 dinara po aparatu dnevno,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bilijar 35,00 dinara po aparatu dnevno.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Taksa po ovom tarifnom broju utvrđuje se srazmerno vremenu korišćenja, a naplaćuje tromesečno;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Naplatu takse vrši Gradska uprava za budžet i lokalni ekonomski razvoj Grada Sremska Mitrovica.</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18" w:name="str_4"/>
      <w:bookmarkEnd w:id="18"/>
      <w:r w:rsidRPr="00542594">
        <w:rPr>
          <w:rFonts w:ascii="Arial" w:eastAsia="Times New Roman" w:hAnsi="Arial" w:cs="Arial"/>
          <w:b/>
          <w:bCs/>
          <w:color w:val="000000"/>
          <w:sz w:val="20"/>
          <w:szCs w:val="20"/>
          <w:lang w:eastAsia="sr-Latn-RS"/>
        </w:rPr>
        <w:t>Tarifni broj 3.</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Preduzetnici i pravna lica koja su prema zakonu kojim se uređuje računovodstvo razvrstana u mala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a imaju godišnji prihod do 50.000.000,00 dinara, ne plaćaju lokalnu komunalnu taksu za isticanje firme na poslovnom prostoru.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su prema zakonu kojim se uređuje računovodstvo razvrstana u srednja pravna lica, kao i preduzetnici, mikro i mala pravna lica koja imaju godišnji prihod preko 50.000.000 dinara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lokalnu komunalnu taksu za isticanje firme na poslovnom prostoru plaćaju u visini jedne prosečne zarade, na godišnjem nivou, ako obavlja delatnost na teritoriji grada Sremska Mitrovica.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su prema zakonu kojim se uređuje računovodstvo razvrstana u srednja pravna lica, kao i preduzetnici i mala pravna lica koja imaju godišnji prihod preko 50.000.000,00 dinara (osim posebnih delatnosti), a obavljaju zanatsku delatnost i delatnost prodaje štampe u više objekata, plaćaju jedinstvenu lokalnu komunalnu taksu u visini jedne prosečne zarade na godišnjem nivou, ako obavlja delatnost na teritoriji grada Sremska Mitrovica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su prema zakonu kojim se uređuje računovodstvo razvrstana u velika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lokalnu komunalnu taksu za isticanje firme na poslovnom prostoru plaćaju u visini dve prosečne zarade po objektu u kom se vrši delatnost na teritoriji grada Sremska Mitrovica na godišnjem nivou.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Pravna lica koja su prema zakonu kojim se uređuje računovodstvo razvrstana u velika, srednja i mala pravna lica i preduzetnici a obavljaju delatnost bankarstva, osiguranja imovine i lica, proizvodnje i trgovine na veliko duvanskim proizvodima, proizvodnje cementa, mobilnih i telefonskih usluga, elektroprivrede i noćnih barova i diskoteka, lokalnu komunalnu taksu za isticanje firme na poslovnom prostoru u visini šest prosečnih zarada po objektu u kom se vrši delatnost na teritoriji grada Sremska Mitrovica na godišnjem nivou.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su prema zakonu kojim se uređuje računovodstvo razvrstana u velika, srednja i mala pravna lica i preduzetnici a obavljaju delatnost proizvodnje i trgovine naftom i naftnim derivatima na trasi auto- puta, plaćaju lokalnu komunalnu taksu u visini šest prosečnih zarada po objektu u kom se vrši delatnost na teritoriji grada Sremska Mitrovica na godišnjem nivou, a svi ostali privredni subjekti koji obavljaju navedenu delatnost izvan pomenute lokacije plaćaju lokalnu komunalnu taksu u visini tri prosečne zarade po objektu u kom se vrši delatnost na teritoriji grada Sremska Mitrovica na godišnjem nivou.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su prema zakonu kojim se uređuje računovodstvo razvrstana u velika, srednja i mala pravna lica i preduzetnici a obavljaju delatnost kazina, kockarnica, kladionica, bingo sala i pružanja kockarskih usluga na lokacijama koje su razvrstane u ekstra zonu, prvu i drugu zonu prema Odluci o merilima za utvrđivanje naknade za uređivanje građevinskog zemljišta, plaćaju lokalnu komunalnu taksu u visini šest prosečnih zarada po objektu u kom se vrši delatnost na teritoriji grada Sremska Mitrovica na godišnjem nivou. Svi ostali privredni subjekti koji obavljaju navedene delatnosti, a razvrstani su prema lokaciji u ostale zone, plaćaju lokalnu komunalnu taksu u visini tri prosečne zarade po objektu u kom se vrši delatnost, na godišnjem nivou.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Pravna lica koja obavljaju delatnost poštanskih usluga, plaćaju jedinstvenu lokalnu komunalnu taksu u visini šest prosečnih zarada za sve objekte na godišnjem nivou.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Pod prosečnom zaradom smatra se prosečna zarada po zaposlenom ostvarena na teritoriji jedinice lokalne samouprave u periodu januar-avgust godine koja prethodi godini za koju se utvrđuje lokalna komunalna taksa, prema podacima republičkog organa nadležnog za poslove statistike.</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19" w:name="str_5"/>
      <w:bookmarkEnd w:id="19"/>
      <w:r w:rsidRPr="00542594">
        <w:rPr>
          <w:rFonts w:ascii="Arial" w:eastAsia="Times New Roman" w:hAnsi="Arial" w:cs="Arial"/>
          <w:b/>
          <w:bCs/>
          <w:color w:val="000000"/>
          <w:sz w:val="20"/>
          <w:szCs w:val="20"/>
          <w:lang w:eastAsia="sr-Latn-RS"/>
        </w:rPr>
        <w:t>Tarifni broj 4.</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korišćenje reklamnih panoa, uključujući i isticanje i ispisivanje firme van poslovnog prostora na objektima i prostorima koji pripadaju jedinici lokalne samouprave (kolovozi, trotoari, zelene površine, bandere i sl.) plaća se komunalna taksa po panou dnevno, i to:</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8"/>
        <w:gridCol w:w="6284"/>
      </w:tblGrid>
      <w:tr w:rsidR="00542594" w:rsidRPr="00542594" w:rsidTr="00542594">
        <w:trPr>
          <w:tblCellSpacing w:w="0" w:type="dxa"/>
        </w:trPr>
        <w:tc>
          <w:tcPr>
            <w:tcW w:w="1300" w:type="pct"/>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do 1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panoa</w:t>
            </w:r>
          </w:p>
        </w:tc>
        <w:tc>
          <w:tcPr>
            <w:tcW w:w="3700" w:type="pct"/>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do 2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panoa</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25,00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2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panoa</w:t>
            </w:r>
          </w:p>
        </w:tc>
        <w:tc>
          <w:tcPr>
            <w:tcW w:w="0" w:type="auto"/>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35,00 dinara</w:t>
            </w:r>
          </w:p>
        </w:tc>
      </w:tr>
    </w:tbl>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Lokalna komunalna taksa iz stava 1. ovog Tarifnog broja za pravna lica i preduzetnike ne može biti veća od 20% odgovarajućih iznosa utvrđenih stavovima 2, 3 i 4 Tarifnog broja 3. na godišnjem nivou, odnosno tako utvrđenih iznosa srazmerno vremenu korišćenja reklamnog panoa, zavisno od toga da li su razvrstani u velika, srednja ili mala pravna lica i preduzetnike i zavisno od delatnosti koju obavlja.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Preduzetnici i mala pravna lica (osim preduzetnika i pravnih lica koja obavljaju delatnosti: bankarstva, osiguranja imovine i lica, proizvodnje i trgovine naftom i naftnim derivatima, proizvodnje i trgovine na veliko duvanskim proizvodima, proizvodnje cementa, poštanskih, mobilnih i telefonskih usluga, elektroprivrede, kazina, kockarnica, kladionica, bingo sala i pružanja kockarskih usluga i noćnih barova i diskoteka), a imaju godišnji prihod do 50.000.000 dinara, ne plaćaju lokalnu komunalnu taksu iz stava 1. ovog Tarifnog broja.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Naplatu takse po ovom Tarifnom broju vrši Gradska uprava za urbanizam, prostorno planiranje i izgradnju objekata prilikom izdavanja odobrenja za njihovo korišćenje, odnosno postavljanje.</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20" w:name="str_6"/>
      <w:bookmarkEnd w:id="20"/>
      <w:r w:rsidRPr="00542594">
        <w:rPr>
          <w:rFonts w:ascii="Arial" w:eastAsia="Times New Roman" w:hAnsi="Arial" w:cs="Arial"/>
          <w:b/>
          <w:bCs/>
          <w:color w:val="000000"/>
          <w:sz w:val="20"/>
          <w:szCs w:val="20"/>
          <w:lang w:eastAsia="sr-Latn-RS"/>
        </w:rPr>
        <w:t>Tarifni broj 5.</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korišćenje slobodnih površina za kampovanje, postavljanje šatora ili druge objekte privremenog korišćenja plaća se taksa i to: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11,33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Taksa po ovom tarifnom broju plaća se srazmerno vremenu korišćenja.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 Naplatu takse vrši Gradska uprava za urbanizam, prostorno planiranje i izgradnju objekata prilikom izdavanja odobrenja za privremeno korišćenje javnih površina</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21" w:name="str_7"/>
      <w:bookmarkEnd w:id="21"/>
      <w:r w:rsidRPr="00542594">
        <w:rPr>
          <w:rFonts w:ascii="Arial" w:eastAsia="Times New Roman" w:hAnsi="Arial" w:cs="Arial"/>
          <w:b/>
          <w:bCs/>
          <w:color w:val="000000"/>
          <w:sz w:val="20"/>
          <w:szCs w:val="20"/>
          <w:lang w:eastAsia="sr-Latn-RS"/>
        </w:rPr>
        <w:t>Tarifni broj 6.</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Iznos lokalne komunalne takse za držanje motornih drumskih i priključnih vozila, osim poljoprivrednih vozila i mašina, koja se plaća prilikom registracije vozila, utvrđuje se u sledećim iznosima:</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
        <w:gridCol w:w="7071"/>
        <w:gridCol w:w="1723"/>
      </w:tblGrid>
      <w:tr w:rsidR="00542594" w:rsidRPr="00542594" w:rsidTr="00542594">
        <w:trPr>
          <w:tblCellSpacing w:w="0" w:type="dxa"/>
        </w:trPr>
        <w:tc>
          <w:tcPr>
            <w:tcW w:w="150" w:type="pct"/>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w:t>
            </w:r>
          </w:p>
        </w:tc>
        <w:tc>
          <w:tcPr>
            <w:tcW w:w="3900" w:type="pct"/>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teretna vozila:</w:t>
            </w:r>
          </w:p>
        </w:tc>
        <w:tc>
          <w:tcPr>
            <w:tcW w:w="950" w:type="pct"/>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za kamione do 2t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za kamione od 2t do 5t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za kamione od 5t do 12t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za kamione preko 12t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teretne i radne prikolice (za putničke automobile)</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putnička vozila: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do 1.150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1.150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1.300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1.300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1.600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1.600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2.000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2.000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3.000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3.000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motocikle:</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do 125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125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250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600,00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250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500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500 cm</w:t>
            </w:r>
            <w:r w:rsidRPr="00542594">
              <w:rPr>
                <w:rFonts w:ascii="Arial" w:eastAsia="Times New Roman" w:hAnsi="Arial" w:cs="Arial"/>
                <w:color w:val="000000"/>
                <w:sz w:val="15"/>
                <w:szCs w:val="15"/>
                <w:vertAlign w:val="superscript"/>
                <w:lang w:eastAsia="sr-Latn-RS"/>
              </w:rPr>
              <w:t>3</w:t>
            </w:r>
            <w:r w:rsidRPr="00542594">
              <w:rPr>
                <w:rFonts w:ascii="Arial" w:eastAsia="Times New Roman" w:hAnsi="Arial" w:cs="Arial"/>
                <w:color w:val="000000"/>
                <w:sz w:val="18"/>
                <w:szCs w:val="18"/>
                <w:lang w:eastAsia="sr-Latn-RS"/>
              </w:rPr>
              <w:t> do 1.200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1.200 cm</w:t>
            </w:r>
            <w:r w:rsidRPr="00542594">
              <w:rPr>
                <w:rFonts w:ascii="Arial" w:eastAsia="Times New Roman" w:hAnsi="Arial" w:cs="Arial"/>
                <w:color w:val="000000"/>
                <w:sz w:val="15"/>
                <w:szCs w:val="15"/>
                <w:vertAlign w:val="superscript"/>
                <w:lang w:eastAsia="sr-Latn-RS"/>
              </w:rPr>
              <w:t>3</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autobuse i kombi autobuse 50 dinara po registrovanom sedištu;</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6)</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priključna vozila: teretne prikolice, poluprikolice i specijalne teretne prikolice za prevoz određenih vrsta tereta: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1t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od 1t do 5t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700,00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od 5t do 10t nosivosti</w:t>
            </w:r>
          </w:p>
        </w:tc>
        <w:tc>
          <w:tcPr>
            <w:tcW w:w="0" w:type="auto"/>
            <w:shd w:val="clear" w:color="auto" w:fill="FFFFFF"/>
            <w:noWrap/>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950,00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od 10t do 12t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1.300,00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preko 12t nosivosti</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7)</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vučna vozila (tegljače);</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čija je snaga motora do 66 kilovata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čija je snaga motora od 66 do 96 kilovata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čija je snaga motora od 96 do 132 kilovata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2.500,00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čija je snaga motora od 132 do 177 kilovata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čija je snaga motora preko 177 kilovata</w:t>
            </w:r>
          </w:p>
        </w:tc>
        <w:tc>
          <w:tcPr>
            <w:tcW w:w="0" w:type="auto"/>
            <w:shd w:val="clear" w:color="auto" w:fill="FFFFFF"/>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4.000,00 dinara;</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8)</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radna vozila, specijalna adaptirana vozila za prevoz rekvizita za putujuće zabave, radnje i atestirana specijalizovana vozila za prevoz pčela.</w:t>
            </w:r>
          </w:p>
        </w:tc>
        <w:tc>
          <w:tcPr>
            <w:tcW w:w="0" w:type="auto"/>
            <w:shd w:val="clear" w:color="auto" w:fill="FFFFFF"/>
            <w:noWrap/>
            <w:vAlign w:val="bottom"/>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1.000,00 dinara.</w:t>
            </w:r>
          </w:p>
        </w:tc>
      </w:tr>
    </w:tbl>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22" w:name="str_8"/>
      <w:bookmarkEnd w:id="22"/>
      <w:r w:rsidRPr="00542594">
        <w:rPr>
          <w:rFonts w:ascii="Arial" w:eastAsia="Times New Roman" w:hAnsi="Arial" w:cs="Arial"/>
          <w:b/>
          <w:bCs/>
          <w:color w:val="000000"/>
          <w:sz w:val="20"/>
          <w:szCs w:val="20"/>
          <w:lang w:eastAsia="sr-Latn-RS"/>
        </w:rPr>
        <w:t>Tarifni broj 7.</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Za lagerovanje građevinskih i drugih materijala na javnim površinama plaća se taksa i to: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2,90 dinara po m</w:t>
      </w:r>
      <w:r w:rsidRPr="00542594">
        <w:rPr>
          <w:rFonts w:ascii="Arial" w:eastAsia="Times New Roman" w:hAnsi="Arial" w:cs="Arial"/>
          <w:color w:val="000000"/>
          <w:sz w:val="15"/>
          <w:szCs w:val="15"/>
          <w:vertAlign w:val="superscript"/>
          <w:lang w:eastAsia="sr-Latn-RS"/>
        </w:rPr>
        <w:t>2</w:t>
      </w:r>
      <w:r w:rsidRPr="00542594">
        <w:rPr>
          <w:rFonts w:ascii="Arial" w:eastAsia="Times New Roman" w:hAnsi="Arial" w:cs="Arial"/>
          <w:color w:val="000000"/>
          <w:sz w:val="18"/>
          <w:szCs w:val="18"/>
          <w:lang w:eastAsia="sr-Latn-RS"/>
        </w:rPr>
        <w:t> dnevno.</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Taksa po ovom tarifnom broju plaća se srazmerno vremenu korišćenja.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 Naplatu takse po ovom tarifnom broju vrši Gradska uprava za urbanizam, prostorno planiranje i izgradnju objekata prilikom izdavanja odobrenja za privremeno korišćenje javne površine.</w:t>
      </w:r>
    </w:p>
    <w:p w:rsidR="00542594" w:rsidRPr="00542594" w:rsidRDefault="00542594" w:rsidP="00542594">
      <w:pPr>
        <w:shd w:val="clear" w:color="auto" w:fill="FFFFFF"/>
        <w:spacing w:before="240" w:after="240" w:line="240" w:lineRule="auto"/>
        <w:jc w:val="center"/>
        <w:rPr>
          <w:rFonts w:ascii="Arial" w:eastAsia="Times New Roman" w:hAnsi="Arial" w:cs="Arial"/>
          <w:b/>
          <w:bCs/>
          <w:color w:val="000000"/>
          <w:sz w:val="20"/>
          <w:szCs w:val="20"/>
          <w:lang w:eastAsia="sr-Latn-RS"/>
        </w:rPr>
      </w:pPr>
      <w:bookmarkStart w:id="23" w:name="str_9"/>
      <w:bookmarkEnd w:id="23"/>
      <w:r w:rsidRPr="00542594">
        <w:rPr>
          <w:rFonts w:ascii="Arial" w:eastAsia="Times New Roman" w:hAnsi="Arial" w:cs="Arial"/>
          <w:b/>
          <w:bCs/>
          <w:color w:val="000000"/>
          <w:sz w:val="20"/>
          <w:szCs w:val="20"/>
          <w:lang w:eastAsia="sr-Latn-RS"/>
        </w:rPr>
        <w:t>Tarifni broj 8.</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Za korišćenje prostora za parkiranje drumskih motornih i priključnih vozila na uređenim i obeleženim mestima, plaća se taksa i to:</w:t>
      </w:r>
    </w:p>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r w:rsidRPr="00542594">
        <w:rPr>
          <w:rFonts w:ascii="Arial" w:eastAsia="Times New Roman" w:hAnsi="Arial" w:cs="Arial"/>
          <w:b/>
          <w:bCs/>
          <w:color w:val="000000"/>
          <w:sz w:val="20"/>
          <w:szCs w:val="20"/>
          <w:lang w:eastAsia="sr-Latn-RS"/>
        </w:rPr>
        <w:t>I</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6954"/>
        <w:gridCol w:w="1161"/>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ZONA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JEDNOKRATNO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TAKSA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jedan sat parkiranja (cena za prvi i drugi započeti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jedan sat parkiranja (cena za treći kao i svaki sledeći započeti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80,00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 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jedan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35,50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jedan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Kiosk karta za započeti sat parkiranja (cena za prvi i drugi započeti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 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Kiosk karta za započeti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35,50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Kiosk karta za započeti sat parkiranja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Celodnevno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 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Celodnevno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Celodnevno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170,00 dinara</w:t>
            </w:r>
          </w:p>
        </w:tc>
      </w:tr>
      <w:tr w:rsidR="00542594" w:rsidRPr="00542594" w:rsidTr="0054259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rezervaciju parking mesta - dnevna (I, II, III i IV zona)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900,00 dinara</w:t>
            </w:r>
          </w:p>
        </w:tc>
      </w:tr>
      <w:tr w:rsidR="00542594" w:rsidRPr="00542594" w:rsidTr="0054259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rezervaciju parking mesta - dnevna plaćena u roku od 8 dana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450,00 dinara</w:t>
            </w:r>
          </w:p>
        </w:tc>
      </w:tr>
    </w:tbl>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r w:rsidRPr="00542594">
        <w:rPr>
          <w:rFonts w:ascii="Arial" w:eastAsia="Times New Roman" w:hAnsi="Arial" w:cs="Arial"/>
          <w:b/>
          <w:bCs/>
          <w:color w:val="000000"/>
          <w:sz w:val="20"/>
          <w:szCs w:val="20"/>
          <w:lang w:eastAsia="sr-Latn-RS"/>
        </w:rPr>
        <w:t>II</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1"/>
        <w:gridCol w:w="4933"/>
        <w:gridCol w:w="1412"/>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ZONA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POVLAŠĆENO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TAKSA</w:t>
            </w:r>
          </w:p>
        </w:tc>
      </w:tr>
      <w:tr w:rsidR="00542594" w:rsidRPr="00542594" w:rsidTr="00542594">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MESEČNO</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fizička lica (stanari)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450,00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1.200,00 dinara</w:t>
            </w:r>
          </w:p>
        </w:tc>
      </w:tr>
      <w:tr w:rsidR="00542594" w:rsidRPr="00542594" w:rsidTr="00542594">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GODIŠNJE</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fizička lica (stanari)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4.500,00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12.000,00 dinara</w:t>
            </w:r>
          </w:p>
        </w:tc>
      </w:tr>
    </w:tbl>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r w:rsidRPr="00542594">
        <w:rPr>
          <w:rFonts w:ascii="Arial" w:eastAsia="Times New Roman" w:hAnsi="Arial" w:cs="Arial"/>
          <w:b/>
          <w:bCs/>
          <w:color w:val="000000"/>
          <w:sz w:val="20"/>
          <w:szCs w:val="20"/>
          <w:lang w:eastAsia="sr-Latn-RS"/>
        </w:rPr>
        <w:t>III</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1"/>
        <w:gridCol w:w="4933"/>
        <w:gridCol w:w="1412"/>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ZONA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PRETPLATA NA PARKIRANJE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TAKSA</w:t>
            </w:r>
          </w:p>
        </w:tc>
      </w:tr>
      <w:tr w:rsidR="00542594" w:rsidRPr="00542594" w:rsidTr="00542594">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MESEČNO</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fizička lica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2.500,00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 alica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1.800,00 dinara</w:t>
            </w:r>
          </w:p>
        </w:tc>
      </w:tr>
      <w:tr w:rsidR="00542594" w:rsidRPr="00542594" w:rsidTr="00542594">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GODIŠNJE</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fizička lica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25.000,00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fizička lica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10.000,00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 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35.000,00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 III i IV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Taksa za celodnevno parkiranje za pravna lica i preduzetnike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18.000,00 dinara</w:t>
            </w:r>
          </w:p>
        </w:tc>
      </w:tr>
    </w:tbl>
    <w:p w:rsidR="00542594" w:rsidRPr="00542594" w:rsidRDefault="00542594" w:rsidP="00542594">
      <w:pPr>
        <w:shd w:val="clear" w:color="auto" w:fill="FFFFFF"/>
        <w:spacing w:before="240" w:after="120" w:line="240" w:lineRule="auto"/>
        <w:jc w:val="center"/>
        <w:rPr>
          <w:rFonts w:ascii="Arial" w:eastAsia="Times New Roman" w:hAnsi="Arial" w:cs="Arial"/>
          <w:b/>
          <w:bCs/>
          <w:color w:val="000000"/>
          <w:sz w:val="20"/>
          <w:szCs w:val="20"/>
          <w:lang w:eastAsia="sr-Latn-RS"/>
        </w:rPr>
      </w:pPr>
      <w:r w:rsidRPr="00542594">
        <w:rPr>
          <w:rFonts w:ascii="Arial" w:eastAsia="Times New Roman" w:hAnsi="Arial" w:cs="Arial"/>
          <w:b/>
          <w:bCs/>
          <w:color w:val="000000"/>
          <w:sz w:val="20"/>
          <w:szCs w:val="20"/>
          <w:lang w:eastAsia="sr-Latn-RS"/>
        </w:rPr>
        <w:lastRenderedPageBreak/>
        <w:t>IV</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70"/>
        <w:gridCol w:w="4303"/>
        <w:gridCol w:w="1512"/>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ZONA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REZERVACIJA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center"/>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TAKSA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Mesečna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Mesečna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9.500,00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Mesečna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5.500,00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Godišnja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120.000,00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Godišnja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95.000,00 dinara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Godišnja taksa za zakup rezervisanog parking mesta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jc w:val="right"/>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55.000,00 dinara</w:t>
            </w:r>
          </w:p>
        </w:tc>
      </w:tr>
    </w:tbl>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Rezervacija i zakup rezervisanog parking mesta (mesečno, godišnje i polugodišnje) vrši se u skladu sa odredbama Odluke o javnim parkiralištima.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NAPOMENA:</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Nadzor nad sprovođenjem ove taksene tarife vrši Gradska uprava za saobraćaj, komunalne i inspekcijske poslove.</w:t>
      </w:r>
    </w:p>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GRAD SREMSKA MITROVICA</w:t>
      </w:r>
      <w:r w:rsidRPr="00542594">
        <w:rPr>
          <w:rFonts w:ascii="Arial" w:eastAsia="Times New Roman" w:hAnsi="Arial" w:cs="Arial"/>
          <w:color w:val="000000"/>
          <w:sz w:val="18"/>
          <w:szCs w:val="18"/>
          <w:lang w:eastAsia="sr-Latn-RS"/>
        </w:rPr>
        <w:br/>
        <w:t>GRADSKA UPRAVA ZA BUDŽET I LOKALNI EKONOMSKI RAZVOJ</w:t>
      </w:r>
    </w:p>
    <w:p w:rsidR="00542594" w:rsidRPr="00542594" w:rsidRDefault="00542594" w:rsidP="00542594">
      <w:pPr>
        <w:shd w:val="clear" w:color="auto" w:fill="FFFFFF"/>
        <w:spacing w:after="0" w:line="240" w:lineRule="auto"/>
        <w:jc w:val="center"/>
        <w:rPr>
          <w:rFonts w:ascii="Arial" w:eastAsia="Times New Roman" w:hAnsi="Arial" w:cs="Arial"/>
          <w:b/>
          <w:bCs/>
          <w:color w:val="000000"/>
          <w:sz w:val="23"/>
          <w:szCs w:val="23"/>
          <w:lang w:eastAsia="sr-Latn-RS"/>
        </w:rPr>
      </w:pPr>
      <w:bookmarkStart w:id="24" w:name="str_10"/>
      <w:bookmarkEnd w:id="24"/>
      <w:r w:rsidRPr="00542594">
        <w:rPr>
          <w:rFonts w:ascii="Arial" w:eastAsia="Times New Roman" w:hAnsi="Arial" w:cs="Arial"/>
          <w:b/>
          <w:bCs/>
          <w:color w:val="000000"/>
          <w:sz w:val="23"/>
          <w:szCs w:val="23"/>
          <w:lang w:eastAsia="sr-Latn-RS"/>
        </w:rPr>
        <w:t>PRIJAVA</w:t>
      </w:r>
      <w:r w:rsidRPr="00542594">
        <w:rPr>
          <w:rFonts w:ascii="Arial" w:eastAsia="Times New Roman" w:hAnsi="Arial" w:cs="Arial"/>
          <w:b/>
          <w:bCs/>
          <w:color w:val="000000"/>
          <w:sz w:val="23"/>
          <w:szCs w:val="23"/>
          <w:lang w:eastAsia="sr-Latn-RS"/>
        </w:rPr>
        <w:br/>
        <w:t>ZA UTVRĐIVANJE OBAVEZA PO OSNOVU LOKALNE KOMUNALNE TAKSE ZA ISTICANJE FIRME NA POSLOVNOM PROSTORU</w:t>
      </w:r>
    </w:p>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 PODACI O OBVEZNIKU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Ime/Naziv (radnje, preduzeća) _____________________________________________________________</w:t>
      </w:r>
      <w:r w:rsidRPr="00542594">
        <w:rPr>
          <w:rFonts w:ascii="Arial" w:eastAsia="Times New Roman" w:hAnsi="Arial" w:cs="Arial"/>
          <w:color w:val="000000"/>
          <w:sz w:val="18"/>
          <w:szCs w:val="18"/>
          <w:lang w:eastAsia="sr-Latn-RS"/>
        </w:rPr>
        <w:br/>
        <w:t>2. PIB __________________ 3. Matični broj (radnje, preduzeća) ____________________________________</w:t>
      </w:r>
      <w:r w:rsidRPr="00542594">
        <w:rPr>
          <w:rFonts w:ascii="Arial" w:eastAsia="Times New Roman" w:hAnsi="Arial" w:cs="Arial"/>
          <w:color w:val="000000"/>
          <w:sz w:val="18"/>
          <w:szCs w:val="18"/>
          <w:lang w:eastAsia="sr-Latn-RS"/>
        </w:rPr>
        <w:br/>
        <w:t>4. Ime i prezime ______________________________ 5. JMBG ____________________________________</w:t>
      </w:r>
      <w:r w:rsidRPr="00542594">
        <w:rPr>
          <w:rFonts w:ascii="Arial" w:eastAsia="Times New Roman" w:hAnsi="Arial" w:cs="Arial"/>
          <w:color w:val="000000"/>
          <w:sz w:val="18"/>
          <w:szCs w:val="18"/>
          <w:lang w:eastAsia="sr-Latn-RS"/>
        </w:rPr>
        <w:br/>
        <w:t>6. Podaci o sedištu obveznika</w:t>
      </w:r>
      <w:r w:rsidRPr="00542594">
        <w:rPr>
          <w:rFonts w:ascii="Arial" w:eastAsia="Times New Roman" w:hAnsi="Arial" w:cs="Arial"/>
          <w:color w:val="000000"/>
          <w:sz w:val="18"/>
          <w:szCs w:val="18"/>
          <w:lang w:eastAsia="sr-Latn-RS"/>
        </w:rPr>
        <w:br/>
        <w:t>   Opština _____________________________ Mesto ____________________________________________</w:t>
      </w:r>
      <w:r w:rsidRPr="00542594">
        <w:rPr>
          <w:rFonts w:ascii="Arial" w:eastAsia="Times New Roman" w:hAnsi="Arial" w:cs="Arial"/>
          <w:color w:val="000000"/>
          <w:sz w:val="18"/>
          <w:szCs w:val="18"/>
          <w:lang w:eastAsia="sr-Latn-RS"/>
        </w:rPr>
        <w:br/>
        <w:t>   Ulica i broj ________________________________________________ Telefon ______________________</w:t>
      </w:r>
      <w:r w:rsidRPr="00542594">
        <w:rPr>
          <w:rFonts w:ascii="Arial" w:eastAsia="Times New Roman" w:hAnsi="Arial" w:cs="Arial"/>
          <w:color w:val="000000"/>
          <w:sz w:val="18"/>
          <w:szCs w:val="18"/>
          <w:lang w:eastAsia="sr-Latn-RS"/>
        </w:rPr>
        <w:br/>
        <w:t>7. Šifra i naziv pretežne delatnosti ____________________________________________________________</w:t>
      </w:r>
      <w:r w:rsidRPr="00542594">
        <w:rPr>
          <w:rFonts w:ascii="Arial" w:eastAsia="Times New Roman" w:hAnsi="Arial" w:cs="Arial"/>
          <w:color w:val="000000"/>
          <w:sz w:val="18"/>
          <w:szCs w:val="18"/>
          <w:lang w:eastAsia="sr-Latn-RS"/>
        </w:rPr>
        <w:br/>
        <w:t>________________________________________________________________________________________</w:t>
      </w:r>
      <w:r w:rsidRPr="00542594">
        <w:rPr>
          <w:rFonts w:ascii="Arial" w:eastAsia="Times New Roman" w:hAnsi="Arial" w:cs="Arial"/>
          <w:color w:val="000000"/>
          <w:sz w:val="18"/>
          <w:szCs w:val="18"/>
          <w:lang w:eastAsia="sr-Latn-RS"/>
        </w:rPr>
        <w:br/>
        <w:t>8. Datum početka obavljanja delatnosti ____________________</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7"/>
        <w:gridCol w:w="626"/>
        <w:gridCol w:w="856"/>
        <w:gridCol w:w="731"/>
      </w:tblGrid>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9. Veličina preduzeća</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xml:space="preserve">Malo </w:t>
            </w:r>
            <w:r w:rsidRPr="00542594">
              <w:rPr>
                <w:rFonts w:ascii="Segoe UI Symbol" w:eastAsia="Times New Roman" w:hAnsi="Segoe UI Symbol" w:cs="Segoe UI Symbol"/>
                <w:color w:val="000000"/>
                <w:sz w:val="18"/>
                <w:szCs w:val="18"/>
                <w:lang w:eastAsia="sr-Latn-RS"/>
              </w:rPr>
              <w:t>☐</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xml:space="preserve">Srednje </w:t>
            </w:r>
            <w:r w:rsidRPr="00542594">
              <w:rPr>
                <w:rFonts w:ascii="Segoe UI Symbol" w:eastAsia="Times New Roman" w:hAnsi="Segoe UI Symbol" w:cs="Segoe UI Symbol"/>
                <w:color w:val="000000"/>
                <w:sz w:val="18"/>
                <w:szCs w:val="18"/>
                <w:lang w:eastAsia="sr-Latn-RS"/>
              </w:rPr>
              <w:t>☐</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xml:space="preserve">Veliko </w:t>
            </w:r>
            <w:r w:rsidRPr="00542594">
              <w:rPr>
                <w:rFonts w:ascii="Segoe UI Symbol" w:eastAsia="Times New Roman" w:hAnsi="Segoe UI Symbol" w:cs="Segoe UI Symbol"/>
                <w:color w:val="000000"/>
                <w:sz w:val="18"/>
                <w:szCs w:val="18"/>
                <w:lang w:eastAsia="sr-Latn-RS"/>
              </w:rPr>
              <w:t>☐</w:t>
            </w:r>
          </w:p>
        </w:tc>
      </w:tr>
    </w:tbl>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II POSEBNI PODACI</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Podaci o broju poslovnih prostora van sedišta obveznika</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801"/>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NAZIV OBJEKTA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ADRESA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bl>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III PRILOG</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rešenje ili izvod o registraciji od Agencije za privredne registre (kopija)</w:t>
      </w:r>
      <w:r w:rsidRPr="00542594">
        <w:rPr>
          <w:rFonts w:ascii="Arial" w:eastAsia="Times New Roman" w:hAnsi="Arial" w:cs="Arial"/>
          <w:color w:val="000000"/>
          <w:sz w:val="18"/>
          <w:szCs w:val="18"/>
          <w:lang w:eastAsia="sr-Latn-RS"/>
        </w:rPr>
        <w:br/>
        <w:t>- potvrdu o izvršenoj registraciji - PIB (kopija)</w:t>
      </w:r>
      <w:r w:rsidRPr="00542594">
        <w:rPr>
          <w:rFonts w:ascii="Arial" w:eastAsia="Times New Roman" w:hAnsi="Arial" w:cs="Arial"/>
          <w:color w:val="000000"/>
          <w:sz w:val="18"/>
          <w:szCs w:val="18"/>
          <w:lang w:eastAsia="sr-Latn-RS"/>
        </w:rPr>
        <w:br/>
        <w:t>- obaveštenje o razvrstavanju pravnih lica u skladu sa članom 7. Zakona o računovodstvu i reviziji ("Sl. glasnik RS", br. 46/2006, 111/2009, 99/2011 i 62/2013)</w:t>
      </w:r>
      <w:r w:rsidRPr="00542594">
        <w:rPr>
          <w:rFonts w:ascii="Arial" w:eastAsia="Times New Roman" w:hAnsi="Arial" w:cs="Arial"/>
          <w:color w:val="000000"/>
          <w:sz w:val="18"/>
          <w:szCs w:val="18"/>
          <w:lang w:eastAsia="sr-Latn-RS"/>
        </w:rPr>
        <w:br/>
        <w:t>- ______________________________________________________________________________________</w:t>
      </w:r>
      <w:r w:rsidRPr="00542594">
        <w:rPr>
          <w:rFonts w:ascii="Arial" w:eastAsia="Times New Roman" w:hAnsi="Arial" w:cs="Arial"/>
          <w:color w:val="000000"/>
          <w:sz w:val="18"/>
          <w:szCs w:val="18"/>
          <w:lang w:eastAsia="sr-Latn-RS"/>
        </w:rPr>
        <w:br/>
        <w:t>- ______________________________________________________________________________________</w:t>
      </w:r>
      <w:r w:rsidRPr="00542594">
        <w:rPr>
          <w:rFonts w:ascii="Arial" w:eastAsia="Times New Roman" w:hAnsi="Arial" w:cs="Arial"/>
          <w:color w:val="000000"/>
          <w:sz w:val="18"/>
          <w:szCs w:val="18"/>
          <w:lang w:eastAsia="sr-Latn-RS"/>
        </w:rPr>
        <w:br/>
        <w:t>- ______________________________________________________________________________________</w:t>
      </w:r>
    </w:p>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401"/>
        <w:gridCol w:w="2338"/>
      </w:tblGrid>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lastRenderedPageBreak/>
              <w:t>Dana ________________</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_______________________</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M.P.</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(potpis obveznika)</w:t>
            </w:r>
          </w:p>
        </w:tc>
      </w:tr>
    </w:tbl>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GRAD SREMSKA MITROVICA</w:t>
      </w:r>
      <w:r w:rsidRPr="00542594">
        <w:rPr>
          <w:rFonts w:ascii="Arial" w:eastAsia="Times New Roman" w:hAnsi="Arial" w:cs="Arial"/>
          <w:color w:val="000000"/>
          <w:sz w:val="18"/>
          <w:szCs w:val="18"/>
          <w:lang w:eastAsia="sr-Latn-RS"/>
        </w:rPr>
        <w:br/>
        <w:t>GRADSKA UPRAVA ZA BUDŽET I LOKALNI EKONOMSKI RAZVOJ</w:t>
      </w:r>
    </w:p>
    <w:p w:rsidR="00542594" w:rsidRPr="00542594" w:rsidRDefault="00542594" w:rsidP="00542594">
      <w:pPr>
        <w:shd w:val="clear" w:color="auto" w:fill="FFFFFF"/>
        <w:spacing w:after="0" w:line="240" w:lineRule="auto"/>
        <w:jc w:val="center"/>
        <w:rPr>
          <w:rFonts w:ascii="Arial" w:eastAsia="Times New Roman" w:hAnsi="Arial" w:cs="Arial"/>
          <w:b/>
          <w:bCs/>
          <w:color w:val="000000"/>
          <w:sz w:val="23"/>
          <w:szCs w:val="23"/>
          <w:lang w:eastAsia="sr-Latn-RS"/>
        </w:rPr>
      </w:pPr>
      <w:bookmarkStart w:id="25" w:name="str_11"/>
      <w:bookmarkEnd w:id="25"/>
      <w:r w:rsidRPr="00542594">
        <w:rPr>
          <w:rFonts w:ascii="Arial" w:eastAsia="Times New Roman" w:hAnsi="Arial" w:cs="Arial"/>
          <w:b/>
          <w:bCs/>
          <w:color w:val="000000"/>
          <w:sz w:val="23"/>
          <w:szCs w:val="23"/>
          <w:lang w:eastAsia="sr-Latn-RS"/>
        </w:rPr>
        <w:t>PRIJAVA</w:t>
      </w:r>
      <w:r w:rsidRPr="00542594">
        <w:rPr>
          <w:rFonts w:ascii="Arial" w:eastAsia="Times New Roman" w:hAnsi="Arial" w:cs="Arial"/>
          <w:b/>
          <w:bCs/>
          <w:color w:val="000000"/>
          <w:sz w:val="23"/>
          <w:szCs w:val="23"/>
          <w:lang w:eastAsia="sr-Latn-RS"/>
        </w:rPr>
        <w:br/>
        <w:t>ZA UTVRĐIVANJE OBAVEZA PO OSNOVU LOKALNE KOMUNALNE TAKSE ZA DRŽANJE SREDSTAVA ZA IGRU ("ZABAVNE IGRE")</w:t>
      </w:r>
    </w:p>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 PODACI O OBVEZNIKU</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Ime/Naziv (radnje, preduzeća) _____________________________________________________________</w:t>
      </w:r>
      <w:r w:rsidRPr="00542594">
        <w:rPr>
          <w:rFonts w:ascii="Arial" w:eastAsia="Times New Roman" w:hAnsi="Arial" w:cs="Arial"/>
          <w:color w:val="000000"/>
          <w:sz w:val="18"/>
          <w:szCs w:val="18"/>
          <w:lang w:eastAsia="sr-Latn-RS"/>
        </w:rPr>
        <w:br/>
        <w:t>2. PIB __________________ 3. Matični broj (radnje, preduzeća) ____________________________________</w:t>
      </w:r>
      <w:r w:rsidRPr="00542594">
        <w:rPr>
          <w:rFonts w:ascii="Arial" w:eastAsia="Times New Roman" w:hAnsi="Arial" w:cs="Arial"/>
          <w:color w:val="000000"/>
          <w:sz w:val="18"/>
          <w:szCs w:val="18"/>
          <w:lang w:eastAsia="sr-Latn-RS"/>
        </w:rPr>
        <w:br/>
        <w:t>4. Ime i prezime ______________________________ 5. JMBG ____________________________________</w:t>
      </w:r>
      <w:r w:rsidRPr="00542594">
        <w:rPr>
          <w:rFonts w:ascii="Arial" w:eastAsia="Times New Roman" w:hAnsi="Arial" w:cs="Arial"/>
          <w:color w:val="000000"/>
          <w:sz w:val="18"/>
          <w:szCs w:val="18"/>
          <w:lang w:eastAsia="sr-Latn-RS"/>
        </w:rPr>
        <w:br/>
        <w:t>6. Podaci o sedištu obveznika</w:t>
      </w:r>
      <w:r w:rsidRPr="00542594">
        <w:rPr>
          <w:rFonts w:ascii="Arial" w:eastAsia="Times New Roman" w:hAnsi="Arial" w:cs="Arial"/>
          <w:color w:val="000000"/>
          <w:sz w:val="18"/>
          <w:szCs w:val="18"/>
          <w:lang w:eastAsia="sr-Latn-RS"/>
        </w:rPr>
        <w:br/>
        <w:t>   Opština _____________________________ Mesto ____________________________________________</w:t>
      </w:r>
      <w:r w:rsidRPr="00542594">
        <w:rPr>
          <w:rFonts w:ascii="Arial" w:eastAsia="Times New Roman" w:hAnsi="Arial" w:cs="Arial"/>
          <w:color w:val="000000"/>
          <w:sz w:val="18"/>
          <w:szCs w:val="18"/>
          <w:lang w:eastAsia="sr-Latn-RS"/>
        </w:rPr>
        <w:br/>
        <w:t>   Ulica i broj ________________________________________________ Telefon ______________________</w:t>
      </w:r>
      <w:r w:rsidRPr="00542594">
        <w:rPr>
          <w:rFonts w:ascii="Arial" w:eastAsia="Times New Roman" w:hAnsi="Arial" w:cs="Arial"/>
          <w:color w:val="000000"/>
          <w:sz w:val="18"/>
          <w:szCs w:val="18"/>
          <w:lang w:eastAsia="sr-Latn-RS"/>
        </w:rPr>
        <w:br/>
        <w:t>7. Šifra i naziv pretežne delatnosti ____________________________________________________________</w:t>
      </w:r>
      <w:r w:rsidRPr="00542594">
        <w:rPr>
          <w:rFonts w:ascii="Arial" w:eastAsia="Times New Roman" w:hAnsi="Arial" w:cs="Arial"/>
          <w:color w:val="000000"/>
          <w:sz w:val="18"/>
          <w:szCs w:val="18"/>
          <w:lang w:eastAsia="sr-Latn-RS"/>
        </w:rPr>
        <w:br/>
        <w:t>________________________________________________________________________________________</w:t>
      </w:r>
      <w:r w:rsidRPr="00542594">
        <w:rPr>
          <w:rFonts w:ascii="Arial" w:eastAsia="Times New Roman" w:hAnsi="Arial" w:cs="Arial"/>
          <w:color w:val="000000"/>
          <w:sz w:val="18"/>
          <w:szCs w:val="18"/>
          <w:lang w:eastAsia="sr-Latn-RS"/>
        </w:rPr>
        <w:br/>
        <w:t>8. Datum početka obavljanja delatnosti ____________________</w:t>
      </w:r>
    </w:p>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II POSEBNI PODACI</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1. Podaci o broju aparata</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1431"/>
      </w:tblGrid>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NAZIV OBJEKTA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BROJ APARATA</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r w:rsidR="00542594" w:rsidRPr="00542594" w:rsidTr="0054259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r>
    </w:tbl>
    <w:p w:rsidR="00542594" w:rsidRPr="00542594" w:rsidRDefault="00542594" w:rsidP="00542594">
      <w:pPr>
        <w:shd w:val="clear" w:color="auto" w:fill="FFFFFF"/>
        <w:spacing w:before="48" w:after="48" w:line="240" w:lineRule="auto"/>
        <w:rPr>
          <w:rFonts w:ascii="Arial" w:eastAsia="Times New Roman" w:hAnsi="Arial" w:cs="Arial"/>
          <w:b/>
          <w:bCs/>
          <w:color w:val="000000"/>
          <w:sz w:val="18"/>
          <w:szCs w:val="18"/>
          <w:lang w:eastAsia="sr-Latn-RS"/>
        </w:rPr>
      </w:pPr>
      <w:r w:rsidRPr="00542594">
        <w:rPr>
          <w:rFonts w:ascii="Arial" w:eastAsia="Times New Roman" w:hAnsi="Arial" w:cs="Arial"/>
          <w:b/>
          <w:bCs/>
          <w:color w:val="000000"/>
          <w:sz w:val="18"/>
          <w:szCs w:val="18"/>
          <w:lang w:eastAsia="sr-Latn-RS"/>
        </w:rPr>
        <w:t>III PRILOG</w:t>
      </w:r>
    </w:p>
    <w:p w:rsidR="00542594" w:rsidRPr="00542594" w:rsidRDefault="00542594" w:rsidP="00542594">
      <w:pPr>
        <w:shd w:val="clear" w:color="auto" w:fill="FFFFFF"/>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rešenje ili izvod o registraciji od Agencije za privredne registre (kopija)</w:t>
      </w:r>
      <w:r w:rsidRPr="00542594">
        <w:rPr>
          <w:rFonts w:ascii="Arial" w:eastAsia="Times New Roman" w:hAnsi="Arial" w:cs="Arial"/>
          <w:color w:val="000000"/>
          <w:sz w:val="18"/>
          <w:szCs w:val="18"/>
          <w:lang w:eastAsia="sr-Latn-RS"/>
        </w:rPr>
        <w:br/>
        <w:t>- potvrdu o izvršenoj registraciji - PIB (kopija)</w:t>
      </w:r>
      <w:r w:rsidRPr="00542594">
        <w:rPr>
          <w:rFonts w:ascii="Arial" w:eastAsia="Times New Roman" w:hAnsi="Arial" w:cs="Arial"/>
          <w:color w:val="000000"/>
          <w:sz w:val="18"/>
          <w:szCs w:val="18"/>
          <w:lang w:eastAsia="sr-Latn-RS"/>
        </w:rPr>
        <w:br/>
        <w:t>- obaveštenje o razvrstavanju pravnih lica u skladu sa člana 7. Zakona o računovodstvu i reviziji ("Sl. glasnik RS", br. 46/2006, 111/2009, 99/2011 i 62/2013)</w:t>
      </w:r>
      <w:r w:rsidRPr="00542594">
        <w:rPr>
          <w:rFonts w:ascii="Arial" w:eastAsia="Times New Roman" w:hAnsi="Arial" w:cs="Arial"/>
          <w:color w:val="000000"/>
          <w:sz w:val="18"/>
          <w:szCs w:val="18"/>
          <w:lang w:eastAsia="sr-Latn-RS"/>
        </w:rPr>
        <w:br/>
        <w:t>- ______________________________________________________________________________________</w:t>
      </w:r>
      <w:r w:rsidRPr="00542594">
        <w:rPr>
          <w:rFonts w:ascii="Arial" w:eastAsia="Times New Roman" w:hAnsi="Arial" w:cs="Arial"/>
          <w:color w:val="000000"/>
          <w:sz w:val="18"/>
          <w:szCs w:val="18"/>
          <w:lang w:eastAsia="sr-Latn-RS"/>
        </w:rPr>
        <w:br/>
        <w:t>- ______________________________________________________________________________________</w:t>
      </w:r>
      <w:r w:rsidRPr="00542594">
        <w:rPr>
          <w:rFonts w:ascii="Arial" w:eastAsia="Times New Roman" w:hAnsi="Arial" w:cs="Arial"/>
          <w:color w:val="000000"/>
          <w:sz w:val="18"/>
          <w:szCs w:val="18"/>
          <w:lang w:eastAsia="sr-Latn-RS"/>
        </w:rPr>
        <w:br/>
        <w:t>- ______________________________________________________________________________________</w:t>
      </w:r>
    </w:p>
    <w:p w:rsidR="00542594" w:rsidRPr="00542594" w:rsidRDefault="00542594" w:rsidP="00542594">
      <w:pPr>
        <w:shd w:val="clear" w:color="auto" w:fill="FFFFFF"/>
        <w:spacing w:after="0" w:line="240" w:lineRule="auto"/>
        <w:rPr>
          <w:rFonts w:ascii="Arial" w:eastAsia="Times New Roman" w:hAnsi="Arial" w:cs="Arial"/>
          <w:color w:val="000000"/>
          <w:sz w:val="21"/>
          <w:szCs w:val="21"/>
          <w:lang w:eastAsia="sr-Latn-RS"/>
        </w:rPr>
      </w:pPr>
      <w:r w:rsidRPr="00542594">
        <w:rPr>
          <w:rFonts w:ascii="Arial" w:eastAsia="Times New Roman" w:hAnsi="Arial" w:cs="Arial"/>
          <w:color w:val="000000"/>
          <w:sz w:val="21"/>
          <w:szCs w:val="21"/>
          <w:lang w:eastAsia="sr-Latn-R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401"/>
        <w:gridCol w:w="2338"/>
      </w:tblGrid>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Dana ________________</w:t>
            </w:r>
          </w:p>
        </w:tc>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_______________________</w:t>
            </w:r>
          </w:p>
        </w:tc>
      </w:tr>
      <w:tr w:rsidR="00542594" w:rsidRPr="00542594" w:rsidTr="00542594">
        <w:trPr>
          <w:tblCellSpacing w:w="0" w:type="dxa"/>
        </w:trPr>
        <w:tc>
          <w:tcPr>
            <w:tcW w:w="0" w:type="auto"/>
            <w:shd w:val="clear" w:color="auto" w:fill="FFFFFF"/>
            <w:hideMark/>
          </w:tcPr>
          <w:p w:rsidR="00542594" w:rsidRPr="00542594" w:rsidRDefault="00542594" w:rsidP="00542594">
            <w:pPr>
              <w:spacing w:before="48" w:after="48" w:line="240" w:lineRule="auto"/>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 </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M.P.</w:t>
            </w:r>
          </w:p>
        </w:tc>
        <w:tc>
          <w:tcPr>
            <w:tcW w:w="0" w:type="auto"/>
            <w:shd w:val="clear" w:color="auto" w:fill="FFFFFF"/>
            <w:hideMark/>
          </w:tcPr>
          <w:p w:rsidR="00542594" w:rsidRPr="00542594" w:rsidRDefault="00542594" w:rsidP="00542594">
            <w:pPr>
              <w:spacing w:before="48" w:after="48" w:line="240" w:lineRule="auto"/>
              <w:jc w:val="center"/>
              <w:rPr>
                <w:rFonts w:ascii="Arial" w:eastAsia="Times New Roman" w:hAnsi="Arial" w:cs="Arial"/>
                <w:color w:val="000000"/>
                <w:sz w:val="18"/>
                <w:szCs w:val="18"/>
                <w:lang w:eastAsia="sr-Latn-RS"/>
              </w:rPr>
            </w:pPr>
            <w:r w:rsidRPr="00542594">
              <w:rPr>
                <w:rFonts w:ascii="Arial" w:eastAsia="Times New Roman" w:hAnsi="Arial" w:cs="Arial"/>
                <w:color w:val="000000"/>
                <w:sz w:val="18"/>
                <w:szCs w:val="18"/>
                <w:lang w:eastAsia="sr-Latn-RS"/>
              </w:rPr>
              <w:t>(potpis obveznika)</w:t>
            </w:r>
          </w:p>
        </w:tc>
      </w:tr>
    </w:tbl>
    <w:p w:rsidR="00B45D48" w:rsidRPr="00542594" w:rsidRDefault="00542594" w:rsidP="00542594">
      <w:pPr>
        <w:jc w:val="both"/>
        <w:rPr>
          <w:rFonts w:ascii="Times New Roman" w:hAnsi="Times New Roman" w:cs="Times New Roman"/>
          <w:sz w:val="24"/>
          <w:szCs w:val="24"/>
        </w:rPr>
      </w:pPr>
      <w:bookmarkStart w:id="26" w:name="_GoBack"/>
      <w:bookmarkEnd w:id="26"/>
    </w:p>
    <w:sectPr w:rsidR="00B45D48" w:rsidRPr="00542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4"/>
    <w:rsid w:val="00542594"/>
    <w:rsid w:val="008F1FC8"/>
    <w:rsid w:val="00B238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2056-6DE9-4F36-A619-DCCE706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2017-12-14T11:08:00Z</dcterms:created>
  <dcterms:modified xsi:type="dcterms:W3CDTF">2017-12-14T11:10:00Z</dcterms:modified>
</cp:coreProperties>
</file>